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1C907" w14:textId="69DC9718" w:rsidR="001B3F4A" w:rsidRPr="001B3F4A" w:rsidRDefault="006A2DA6" w:rsidP="00BE163F">
      <w:pPr>
        <w:spacing w:after="0" w:line="240" w:lineRule="auto"/>
        <w:ind w:right="-376"/>
        <w:rPr>
          <w:rFonts w:ascii="Arial" w:eastAsia="Times New Roman" w:hAnsi="Arial" w:cs="Arial"/>
          <w:lang w:val="es-ES_tradnl" w:eastAsia="es-MX"/>
        </w:rPr>
      </w:pPr>
      <w:r>
        <w:rPr>
          <w:rFonts w:ascii="Arial" w:eastAsia="Times New Roman" w:hAnsi="Arial" w:cs="Arial"/>
          <w:lang w:val="es-ES_tradnl" w:eastAsia="es-MX"/>
        </w:rPr>
        <w:t xml:space="preserve">       </w:t>
      </w:r>
      <w:r w:rsidR="00BE163F">
        <w:rPr>
          <w:rFonts w:ascii="Arial" w:eastAsia="Times New Roman" w:hAnsi="Arial" w:cs="Arial"/>
          <w:lang w:val="es-ES_tradnl" w:eastAsia="es-MX"/>
        </w:rPr>
        <w:t xml:space="preserve">                                                                              </w:t>
      </w:r>
      <w:r w:rsidR="001B3F4A" w:rsidRPr="001B3F4A">
        <w:rPr>
          <w:rFonts w:ascii="Arial" w:eastAsia="Times New Roman" w:hAnsi="Arial" w:cs="Arial"/>
          <w:lang w:val="es-ES_tradnl" w:eastAsia="es-MX"/>
        </w:rPr>
        <w:t xml:space="preserve">Nota </w:t>
      </w:r>
      <w:proofErr w:type="spellStart"/>
      <w:r w:rsidR="001B3F4A" w:rsidRPr="001B3F4A">
        <w:rPr>
          <w:rFonts w:ascii="Arial" w:eastAsia="Times New Roman" w:hAnsi="Arial" w:cs="Arial"/>
          <w:lang w:val="es-ES_tradnl" w:eastAsia="es-MX"/>
        </w:rPr>
        <w:t>N°</w:t>
      </w:r>
      <w:proofErr w:type="spellEnd"/>
      <w:r w:rsidR="001B3F4A" w:rsidRPr="001B3F4A">
        <w:rPr>
          <w:rFonts w:ascii="Arial" w:eastAsia="Times New Roman" w:hAnsi="Arial" w:cs="Arial"/>
          <w:lang w:val="es-ES_tradnl" w:eastAsia="es-MX"/>
        </w:rPr>
        <w:t xml:space="preserve"> </w:t>
      </w:r>
      <w:r w:rsidR="00C94BC4">
        <w:rPr>
          <w:rFonts w:ascii="Arial" w:eastAsia="Times New Roman" w:hAnsi="Arial" w:cs="Arial"/>
          <w:lang w:val="es-ES_tradnl" w:eastAsia="es-MX"/>
        </w:rPr>
        <w:t>0</w:t>
      </w:r>
      <w:r w:rsidR="00C14528">
        <w:rPr>
          <w:rFonts w:ascii="Arial" w:eastAsia="Times New Roman" w:hAnsi="Arial" w:cs="Arial"/>
          <w:lang w:val="es-ES_tradnl" w:eastAsia="es-MX"/>
        </w:rPr>
        <w:t>92</w:t>
      </w:r>
      <w:r w:rsidR="001B3F4A" w:rsidRPr="001B3F4A">
        <w:rPr>
          <w:rFonts w:ascii="Arial" w:eastAsia="Times New Roman" w:hAnsi="Arial" w:cs="Arial"/>
          <w:lang w:val="es-ES_tradnl" w:eastAsia="es-MX"/>
        </w:rPr>
        <w:t>-CNFV-DFV-DNFD-2025</w:t>
      </w:r>
    </w:p>
    <w:p w14:paraId="4209D820" w14:textId="56202048" w:rsidR="001B3F4A" w:rsidRPr="001B3F4A" w:rsidRDefault="001B3F4A" w:rsidP="001B3F4A">
      <w:pPr>
        <w:spacing w:after="0" w:line="240" w:lineRule="auto"/>
        <w:jc w:val="both"/>
        <w:rPr>
          <w:rFonts w:ascii="Arial" w:eastAsia="Times New Roman" w:hAnsi="Arial" w:cs="Arial"/>
          <w:sz w:val="24"/>
          <w:szCs w:val="24"/>
        </w:rPr>
      </w:pPr>
      <w:r w:rsidRPr="001B3F4A">
        <w:rPr>
          <w:rFonts w:ascii="Arial" w:eastAsia="Times New Roman" w:hAnsi="Arial" w:cs="Arial"/>
          <w:lang w:val="es-ES_tradnl" w:eastAsia="es-MX"/>
        </w:rPr>
        <w:t xml:space="preserve">            </w:t>
      </w:r>
      <w:r w:rsidRPr="001B3F4A">
        <w:rPr>
          <w:rFonts w:ascii="Arial" w:eastAsia="Times New Roman" w:hAnsi="Arial" w:cs="Arial"/>
          <w:lang w:val="es-ES_tradnl" w:eastAsia="es-MX"/>
        </w:rPr>
        <w:tab/>
      </w:r>
      <w:r w:rsidRPr="001B3F4A">
        <w:rPr>
          <w:rFonts w:ascii="Arial" w:eastAsia="Times New Roman" w:hAnsi="Arial" w:cs="Arial"/>
          <w:lang w:val="es-ES_tradnl" w:eastAsia="es-MX"/>
        </w:rPr>
        <w:tab/>
      </w:r>
      <w:r w:rsidRPr="001B3F4A">
        <w:rPr>
          <w:rFonts w:ascii="Arial" w:eastAsia="Times New Roman" w:hAnsi="Arial" w:cs="Arial"/>
          <w:lang w:val="es-ES_tradnl" w:eastAsia="es-MX"/>
        </w:rPr>
        <w:tab/>
      </w:r>
      <w:r w:rsidRPr="001B3F4A">
        <w:rPr>
          <w:rFonts w:ascii="Arial" w:eastAsia="Times New Roman" w:hAnsi="Arial" w:cs="Arial"/>
          <w:lang w:val="es-ES_tradnl" w:eastAsia="es-MX"/>
        </w:rPr>
        <w:tab/>
      </w:r>
      <w:r w:rsidRPr="001B3F4A">
        <w:rPr>
          <w:rFonts w:ascii="Arial" w:eastAsia="Times New Roman" w:hAnsi="Arial" w:cs="Arial"/>
          <w:lang w:val="es-ES_tradnl" w:eastAsia="es-MX"/>
        </w:rPr>
        <w:tab/>
      </w:r>
      <w:r w:rsidRPr="001B3F4A">
        <w:rPr>
          <w:rFonts w:ascii="Arial" w:eastAsia="Times New Roman" w:hAnsi="Arial" w:cs="Arial"/>
          <w:lang w:val="es-ES_tradnl" w:eastAsia="es-MX"/>
        </w:rPr>
        <w:tab/>
      </w:r>
      <w:r w:rsidR="009A14BF">
        <w:rPr>
          <w:rFonts w:ascii="Arial" w:eastAsia="Times New Roman" w:hAnsi="Arial" w:cs="Arial"/>
          <w:lang w:val="es-ES_tradnl" w:eastAsia="es-MX"/>
        </w:rPr>
        <w:t xml:space="preserve">       </w:t>
      </w:r>
      <w:r w:rsidR="00697A38">
        <w:rPr>
          <w:rFonts w:ascii="Arial" w:eastAsia="Times New Roman" w:hAnsi="Arial" w:cs="Arial"/>
          <w:lang w:val="es-ES_tradnl" w:eastAsia="es-MX"/>
        </w:rPr>
        <w:t>P</w:t>
      </w:r>
      <w:r w:rsidRPr="001B3F4A">
        <w:rPr>
          <w:rFonts w:ascii="Arial" w:eastAsia="Times New Roman" w:hAnsi="Arial" w:cs="Arial"/>
          <w:lang w:val="es-ES_tradnl" w:eastAsia="es-MX"/>
        </w:rPr>
        <w:t xml:space="preserve">anamá, </w:t>
      </w:r>
      <w:r w:rsidR="009A14BF">
        <w:rPr>
          <w:rFonts w:ascii="Arial" w:eastAsia="Times New Roman" w:hAnsi="Arial" w:cs="Arial"/>
          <w:lang w:val="es-ES_tradnl" w:eastAsia="es-MX"/>
        </w:rPr>
        <w:t>2</w:t>
      </w:r>
      <w:r w:rsidR="0068165B">
        <w:rPr>
          <w:rFonts w:ascii="Arial" w:eastAsia="Times New Roman" w:hAnsi="Arial" w:cs="Arial"/>
          <w:lang w:val="es-ES_tradnl" w:eastAsia="es-MX"/>
        </w:rPr>
        <w:t>6</w:t>
      </w:r>
      <w:r w:rsidRPr="001B3F4A">
        <w:rPr>
          <w:rFonts w:ascii="Arial" w:eastAsia="Times New Roman" w:hAnsi="Arial" w:cs="Arial"/>
          <w:lang w:val="es-ES_tradnl" w:eastAsia="es-MX"/>
        </w:rPr>
        <w:t xml:space="preserve"> de </w:t>
      </w:r>
      <w:r w:rsidR="009A14BF">
        <w:rPr>
          <w:rFonts w:ascii="Arial" w:eastAsia="Times New Roman" w:hAnsi="Arial" w:cs="Arial"/>
          <w:lang w:val="es-ES_tradnl" w:eastAsia="es-MX"/>
        </w:rPr>
        <w:t>septiembre</w:t>
      </w:r>
      <w:r w:rsidRPr="001B3F4A">
        <w:rPr>
          <w:rFonts w:ascii="Arial" w:eastAsia="Times New Roman" w:hAnsi="Arial" w:cs="Arial"/>
          <w:lang w:val="es-ES_tradnl" w:eastAsia="es-MX"/>
        </w:rPr>
        <w:t xml:space="preserve"> de 2025</w:t>
      </w:r>
    </w:p>
    <w:p w14:paraId="0EB52183" w14:textId="77777777" w:rsidR="001B3F4A" w:rsidRPr="001B3F4A" w:rsidRDefault="001B3F4A" w:rsidP="001B3F4A">
      <w:pPr>
        <w:tabs>
          <w:tab w:val="left" w:pos="8235"/>
        </w:tabs>
        <w:spacing w:after="0" w:line="240" w:lineRule="auto"/>
        <w:jc w:val="both"/>
        <w:rPr>
          <w:rFonts w:ascii="Arial" w:eastAsia="Times New Roman" w:hAnsi="Arial" w:cs="Arial"/>
        </w:rPr>
      </w:pPr>
    </w:p>
    <w:p w14:paraId="55D368EB" w14:textId="77777777" w:rsidR="001B3F4A" w:rsidRPr="001B3F4A" w:rsidRDefault="001B3F4A" w:rsidP="001B3F4A">
      <w:pPr>
        <w:tabs>
          <w:tab w:val="left" w:pos="8235"/>
        </w:tabs>
        <w:spacing w:after="0" w:line="240" w:lineRule="auto"/>
        <w:jc w:val="both"/>
        <w:rPr>
          <w:rFonts w:ascii="Arial" w:eastAsia="Times New Roman" w:hAnsi="Arial" w:cs="Arial"/>
        </w:rPr>
      </w:pPr>
    </w:p>
    <w:p w14:paraId="2A6CE068" w14:textId="77777777" w:rsidR="001B3F4A" w:rsidRPr="001B3F4A" w:rsidRDefault="001B3F4A" w:rsidP="001B3F4A">
      <w:pPr>
        <w:tabs>
          <w:tab w:val="left" w:pos="8235"/>
        </w:tabs>
        <w:spacing w:after="0" w:line="240" w:lineRule="auto"/>
        <w:jc w:val="both"/>
        <w:rPr>
          <w:rFonts w:ascii="Arial" w:eastAsia="Times New Roman" w:hAnsi="Arial" w:cs="Arial"/>
          <w:b/>
        </w:rPr>
      </w:pPr>
      <w:r w:rsidRPr="001B3F4A">
        <w:rPr>
          <w:rFonts w:ascii="Arial" w:eastAsia="Times New Roman" w:hAnsi="Arial" w:cs="Arial"/>
        </w:rPr>
        <w:t xml:space="preserve">Para: </w:t>
      </w:r>
      <w:r w:rsidRPr="001B3F4A">
        <w:rPr>
          <w:rFonts w:ascii="Arial" w:eastAsia="Times New Roman" w:hAnsi="Arial" w:cs="Arial"/>
          <w:b/>
        </w:rPr>
        <w:t>PROFESIONALES DE LA SALUD</w:t>
      </w:r>
    </w:p>
    <w:p w14:paraId="2DE9B1E0" w14:textId="77777777" w:rsidR="001B3F4A" w:rsidRPr="001B3F4A" w:rsidRDefault="001B3F4A" w:rsidP="001B3F4A">
      <w:pPr>
        <w:spacing w:after="0" w:line="240" w:lineRule="auto"/>
        <w:jc w:val="both"/>
        <w:rPr>
          <w:rFonts w:ascii="Arial" w:eastAsia="Times New Roman" w:hAnsi="Arial" w:cs="Arial"/>
          <w:b/>
        </w:rPr>
      </w:pPr>
    </w:p>
    <w:p w14:paraId="7959ABC6" w14:textId="77777777" w:rsidR="001B3F4A" w:rsidRDefault="001B3F4A" w:rsidP="001B3F4A">
      <w:pPr>
        <w:spacing w:after="0" w:line="240" w:lineRule="auto"/>
        <w:jc w:val="both"/>
        <w:rPr>
          <w:rFonts w:ascii="Arial" w:eastAsia="Times New Roman" w:hAnsi="Arial" w:cs="Arial"/>
          <w:b/>
        </w:rPr>
      </w:pPr>
    </w:p>
    <w:p w14:paraId="5CA72135" w14:textId="77777777" w:rsidR="001B3F4A" w:rsidRDefault="001B3F4A" w:rsidP="001B3F4A">
      <w:pPr>
        <w:spacing w:after="0" w:line="240" w:lineRule="auto"/>
        <w:jc w:val="both"/>
        <w:rPr>
          <w:rFonts w:ascii="Arial" w:eastAsia="Times New Roman" w:hAnsi="Arial" w:cs="Arial"/>
          <w:b/>
        </w:rPr>
      </w:pPr>
    </w:p>
    <w:p w14:paraId="77065D59" w14:textId="77777777" w:rsidR="00BE163F" w:rsidRPr="001B3F4A" w:rsidRDefault="00BE163F" w:rsidP="001B3F4A">
      <w:pPr>
        <w:spacing w:after="0" w:line="240" w:lineRule="auto"/>
        <w:jc w:val="both"/>
        <w:rPr>
          <w:rFonts w:ascii="Arial" w:eastAsia="Times New Roman" w:hAnsi="Arial" w:cs="Arial"/>
          <w:b/>
        </w:rPr>
      </w:pPr>
    </w:p>
    <w:p w14:paraId="12B1CB05" w14:textId="77777777" w:rsidR="001B3F4A" w:rsidRPr="001B3F4A" w:rsidRDefault="001B3F4A" w:rsidP="001B3F4A">
      <w:pPr>
        <w:spacing w:after="0" w:line="240" w:lineRule="auto"/>
        <w:jc w:val="both"/>
        <w:rPr>
          <w:rFonts w:ascii="Arial" w:eastAsia="Times New Roman" w:hAnsi="Arial" w:cs="Arial"/>
          <w:b/>
          <w:lang w:val="pt-BR"/>
        </w:rPr>
      </w:pPr>
      <w:r w:rsidRPr="001B3F4A">
        <w:rPr>
          <w:rFonts w:ascii="Arial" w:eastAsia="Times New Roman" w:hAnsi="Arial" w:cs="Arial"/>
          <w:lang w:val="pt-BR"/>
        </w:rPr>
        <w:t xml:space="preserve">De: </w:t>
      </w:r>
      <w:r w:rsidRPr="001B3F4A">
        <w:rPr>
          <w:rFonts w:ascii="Arial" w:eastAsia="Times New Roman" w:hAnsi="Arial" w:cs="Arial"/>
          <w:b/>
          <w:lang w:val="pt-BR"/>
        </w:rPr>
        <w:t>MAGÍSTER URIEL B. PÉREZ M.</w:t>
      </w:r>
    </w:p>
    <w:p w14:paraId="49C63BBC" w14:textId="77777777" w:rsidR="001B3F4A" w:rsidRPr="001B3F4A" w:rsidRDefault="001B3F4A" w:rsidP="001B3F4A">
      <w:pPr>
        <w:spacing w:after="0" w:line="240" w:lineRule="auto"/>
        <w:jc w:val="both"/>
        <w:rPr>
          <w:rFonts w:ascii="Arial" w:eastAsia="Times New Roman" w:hAnsi="Arial" w:cs="Arial"/>
        </w:rPr>
      </w:pPr>
      <w:r w:rsidRPr="001B3F4A">
        <w:rPr>
          <w:rFonts w:ascii="Arial" w:eastAsia="Times New Roman" w:hAnsi="Arial" w:cs="Arial"/>
          <w:lang w:val="pt-BR"/>
        </w:rPr>
        <w:t xml:space="preserve">      </w:t>
      </w:r>
      <w:r w:rsidRPr="001B3F4A">
        <w:rPr>
          <w:rFonts w:ascii="Arial" w:eastAsia="Times New Roman" w:hAnsi="Arial" w:cs="Arial"/>
        </w:rPr>
        <w:t>Director Nacional de Farmacia y Drogas</w:t>
      </w:r>
    </w:p>
    <w:p w14:paraId="54EE689F" w14:textId="77777777" w:rsidR="001B3F4A" w:rsidRPr="001B3F4A" w:rsidRDefault="001B3F4A" w:rsidP="001B3F4A">
      <w:pPr>
        <w:spacing w:after="0" w:line="240" w:lineRule="auto"/>
        <w:jc w:val="center"/>
        <w:rPr>
          <w:rFonts w:ascii="Arial" w:eastAsia="Times New Roman" w:hAnsi="Arial" w:cs="Arial"/>
          <w:b/>
        </w:rPr>
      </w:pPr>
    </w:p>
    <w:p w14:paraId="593086FC" w14:textId="77777777" w:rsidR="001B3F4A" w:rsidRPr="001B3F4A" w:rsidRDefault="001B3F4A" w:rsidP="001B3F4A">
      <w:pPr>
        <w:spacing w:after="0" w:line="240" w:lineRule="auto"/>
        <w:jc w:val="center"/>
        <w:rPr>
          <w:rFonts w:ascii="Arial" w:eastAsia="Times New Roman" w:hAnsi="Arial" w:cs="Arial"/>
          <w:b/>
        </w:rPr>
      </w:pPr>
    </w:p>
    <w:p w14:paraId="35B7489D" w14:textId="77777777" w:rsidR="001B3F4A" w:rsidRPr="001B3F4A" w:rsidRDefault="001B3F4A" w:rsidP="001B3F4A">
      <w:pPr>
        <w:spacing w:after="0" w:line="240" w:lineRule="auto"/>
        <w:jc w:val="center"/>
        <w:rPr>
          <w:rFonts w:ascii="Arial" w:eastAsia="Times New Roman" w:hAnsi="Arial" w:cs="Arial"/>
          <w:b/>
        </w:rPr>
      </w:pPr>
      <w:r w:rsidRPr="001B3F4A">
        <w:rPr>
          <w:rFonts w:ascii="Arial" w:eastAsia="Times New Roman" w:hAnsi="Arial" w:cs="Arial"/>
          <w:b/>
        </w:rPr>
        <w:t>NOTA DE SEGURIDAD DE MEDICAMENTOS</w:t>
      </w:r>
    </w:p>
    <w:p w14:paraId="53698B6C" w14:textId="77777777" w:rsidR="001B3F4A" w:rsidRDefault="001B3F4A" w:rsidP="001B3F4A">
      <w:pPr>
        <w:keepNext/>
        <w:spacing w:after="0" w:line="240" w:lineRule="auto"/>
        <w:jc w:val="center"/>
        <w:outlineLvl w:val="0"/>
        <w:rPr>
          <w:rFonts w:ascii="Arial" w:eastAsia="Times New Roman" w:hAnsi="Arial" w:cs="Arial"/>
          <w:b/>
          <w:i/>
        </w:rPr>
      </w:pPr>
    </w:p>
    <w:p w14:paraId="131686A7" w14:textId="4158ACBE" w:rsidR="001B3F4A" w:rsidRPr="001B3F4A" w:rsidRDefault="009A14BF" w:rsidP="007C6A41">
      <w:pPr>
        <w:keepNext/>
        <w:spacing w:after="0" w:line="240" w:lineRule="auto"/>
        <w:jc w:val="both"/>
        <w:outlineLvl w:val="0"/>
        <w:rPr>
          <w:rFonts w:ascii="Arial" w:eastAsia="Times New Roman" w:hAnsi="Arial" w:cs="Arial"/>
          <w:b/>
        </w:rPr>
      </w:pPr>
      <w:r>
        <w:rPr>
          <w:rFonts w:ascii="Arial" w:hAnsi="Arial" w:cs="Arial"/>
          <w:b/>
        </w:rPr>
        <w:t>RECOMENDACIONES REVISADAS PARA LA MONITORIZACIÓN RUTINARIA DEL HEMOGRAMA POR EL RIESGO DE AGRANULOCITOSIS CON CLOZAPINA</w:t>
      </w:r>
    </w:p>
    <w:p w14:paraId="62387508" w14:textId="06BC7C0E" w:rsidR="001B3F4A" w:rsidRPr="001B3F4A" w:rsidRDefault="001B3F4A" w:rsidP="001B3F4A">
      <w:pPr>
        <w:keepNext/>
        <w:spacing w:after="0" w:line="240" w:lineRule="auto"/>
        <w:jc w:val="both"/>
        <w:outlineLvl w:val="0"/>
        <w:rPr>
          <w:rFonts w:ascii="Arial" w:eastAsia="Times New Roman" w:hAnsi="Arial" w:cs="Arial"/>
          <w:b/>
        </w:rPr>
      </w:pPr>
      <w:r w:rsidRPr="001B3F4A">
        <w:rPr>
          <w:rFonts w:ascii="Arial" w:eastAsia="Times New Roman" w:hAnsi="Arial" w:cs="Arial"/>
          <w:b/>
          <w:color w:val="FF0000"/>
          <w:u w:val="single"/>
        </w:rPr>
        <w:t>________________________________________________________________________</w:t>
      </w:r>
    </w:p>
    <w:p w14:paraId="2AEE8EDF" w14:textId="77777777" w:rsidR="001B3F4A" w:rsidRPr="001B3F4A" w:rsidRDefault="001B3F4A" w:rsidP="001B3F4A">
      <w:pPr>
        <w:autoSpaceDE w:val="0"/>
        <w:autoSpaceDN w:val="0"/>
        <w:adjustRightInd w:val="0"/>
        <w:spacing w:after="0" w:line="240" w:lineRule="auto"/>
        <w:jc w:val="both"/>
        <w:rPr>
          <w:rFonts w:ascii="Arial" w:eastAsia="Times New Roman" w:hAnsi="Arial" w:cs="Arial"/>
          <w:b/>
          <w:bCs/>
        </w:rPr>
      </w:pPr>
      <w:r w:rsidRPr="001B3F4A">
        <w:rPr>
          <w:rFonts w:ascii="Arial" w:eastAsia="Times New Roman" w:hAnsi="Arial" w:cs="Arial"/>
          <w:b/>
          <w:bCs/>
        </w:rPr>
        <w:t>EL CENTRO NACIONAL DE FARMACOVIGILANCIA DE LA DIRECCIÓN NACIONAL DE FARMACIA Y DROGAS DEL MINISTERIO DE SALUD, DÁNDOLE SEGUIMIENTO A LAS ALERTAS Y NOTAS INFORMATIVAS EMITIDAS POR AUTORIDADES REGULATORIAS INTERNACIONALES DE REFERENCIA, EN MATERIA DE FARMACOVIGILANCIA, CONSIDERA PERTINENTE COMUNICARLES LA SIGUIENTE INFORMACIÓN:</w:t>
      </w:r>
    </w:p>
    <w:p w14:paraId="03747870" w14:textId="77777777" w:rsidR="005F21E8" w:rsidRDefault="005F21E8" w:rsidP="001B3F4A">
      <w:pPr>
        <w:autoSpaceDE w:val="0"/>
        <w:autoSpaceDN w:val="0"/>
        <w:adjustRightInd w:val="0"/>
        <w:spacing w:after="0" w:line="240" w:lineRule="auto"/>
        <w:jc w:val="both"/>
        <w:rPr>
          <w:rFonts w:ascii="Arial" w:eastAsia="Times New Roman" w:hAnsi="Arial" w:cs="Arial"/>
          <w:bCs/>
        </w:rPr>
      </w:pPr>
    </w:p>
    <w:p w14:paraId="5CE0C9FA" w14:textId="15913890" w:rsidR="009A14BF" w:rsidRDefault="00BE163F" w:rsidP="008058C1">
      <w:pPr>
        <w:autoSpaceDE w:val="0"/>
        <w:autoSpaceDN w:val="0"/>
        <w:adjustRightInd w:val="0"/>
        <w:spacing w:after="0" w:line="240" w:lineRule="auto"/>
        <w:jc w:val="both"/>
        <w:rPr>
          <w:rFonts w:ascii="Arial" w:hAnsi="Arial" w:cs="Arial"/>
        </w:rPr>
      </w:pPr>
      <w:r>
        <w:rPr>
          <w:rFonts w:ascii="Arial" w:hAnsi="Arial" w:cs="Arial"/>
        </w:rPr>
        <w:t>L</w:t>
      </w:r>
      <w:r w:rsidR="005F21E8" w:rsidRPr="005F21E8">
        <w:rPr>
          <w:rFonts w:ascii="Arial" w:hAnsi="Arial" w:cs="Arial"/>
        </w:rPr>
        <w:t xml:space="preserve">a Agencia Europea de Medicamentos </w:t>
      </w:r>
      <w:r w:rsidR="007C6A41">
        <w:rPr>
          <w:rFonts w:ascii="Arial" w:hAnsi="Arial" w:cs="Arial"/>
        </w:rPr>
        <w:t>(EMA</w:t>
      </w:r>
      <w:r w:rsidR="00C27817">
        <w:rPr>
          <w:rFonts w:ascii="Arial" w:hAnsi="Arial" w:cs="Arial"/>
        </w:rPr>
        <w:t>, por sus siglas en inglés</w:t>
      </w:r>
      <w:r w:rsidR="007C6A41">
        <w:rPr>
          <w:rFonts w:ascii="Arial" w:hAnsi="Arial" w:cs="Arial"/>
        </w:rPr>
        <w:t xml:space="preserve">) </w:t>
      </w:r>
      <w:r w:rsidR="00174470">
        <w:rPr>
          <w:rFonts w:ascii="Arial" w:hAnsi="Arial" w:cs="Arial"/>
        </w:rPr>
        <w:t>ha informado sobre las recomendaciones revisadas para la monitorización rutinaria del hemograma</w:t>
      </w:r>
      <w:r w:rsidR="00770251">
        <w:rPr>
          <w:rFonts w:ascii="Arial" w:hAnsi="Arial" w:cs="Arial"/>
        </w:rPr>
        <w:t xml:space="preserve"> </w:t>
      </w:r>
      <w:r w:rsidR="00174470">
        <w:rPr>
          <w:rFonts w:ascii="Arial" w:hAnsi="Arial" w:cs="Arial"/>
        </w:rPr>
        <w:t>por el riesgo de agranulocitosis con clozapina.</w:t>
      </w:r>
    </w:p>
    <w:p w14:paraId="00044273" w14:textId="77777777" w:rsidR="00EA2CDE" w:rsidRDefault="00EA2CDE" w:rsidP="008058C1">
      <w:pPr>
        <w:autoSpaceDE w:val="0"/>
        <w:autoSpaceDN w:val="0"/>
        <w:adjustRightInd w:val="0"/>
        <w:spacing w:after="0" w:line="240" w:lineRule="auto"/>
        <w:jc w:val="both"/>
        <w:rPr>
          <w:rFonts w:ascii="Arial" w:hAnsi="Arial" w:cs="Arial"/>
        </w:rPr>
      </w:pPr>
    </w:p>
    <w:p w14:paraId="2A873E98" w14:textId="7D7D6DDC" w:rsidR="00EA2CDE" w:rsidRDefault="00EA2CDE" w:rsidP="008058C1">
      <w:pPr>
        <w:autoSpaceDE w:val="0"/>
        <w:autoSpaceDN w:val="0"/>
        <w:adjustRightInd w:val="0"/>
        <w:spacing w:after="0" w:line="240" w:lineRule="auto"/>
        <w:jc w:val="both"/>
        <w:rPr>
          <w:rFonts w:ascii="Arial" w:hAnsi="Arial" w:cs="Arial"/>
        </w:rPr>
      </w:pPr>
      <w:r>
        <w:rPr>
          <w:rFonts w:ascii="Arial" w:hAnsi="Arial" w:cs="Arial"/>
        </w:rPr>
        <w:t>La clozapina es un antipsicótico atípico indicado en pacientes con esquizofrenia resistente al tratamiento y en pacientes con esquizofrenia que presentan reacciones adversas</w:t>
      </w:r>
      <w:r w:rsidR="008F2E66">
        <w:rPr>
          <w:rFonts w:ascii="Arial" w:hAnsi="Arial" w:cs="Arial"/>
        </w:rPr>
        <w:t xml:space="preserve"> neurológicas graves e intratables a otros agentes antipsicóticos. También está indicado en trastornos psicóticos que ocurren durante el curso de la enfermedad de Parkinson, en casos en los que el tratamiento estándar ha fallado.</w:t>
      </w:r>
    </w:p>
    <w:p w14:paraId="7F92059F" w14:textId="77777777" w:rsidR="008F2E66" w:rsidRDefault="008F2E66" w:rsidP="008F2E66">
      <w:pPr>
        <w:autoSpaceDE w:val="0"/>
        <w:autoSpaceDN w:val="0"/>
        <w:adjustRightInd w:val="0"/>
        <w:spacing w:after="0" w:line="240" w:lineRule="auto"/>
        <w:jc w:val="both"/>
        <w:rPr>
          <w:rFonts w:ascii="Arial" w:hAnsi="Arial" w:cs="Arial"/>
        </w:rPr>
      </w:pPr>
    </w:p>
    <w:p w14:paraId="2E502423" w14:textId="53871088" w:rsidR="008F2E66" w:rsidRPr="008F2E66" w:rsidRDefault="008F2E66" w:rsidP="008F2E66">
      <w:pPr>
        <w:autoSpaceDE w:val="0"/>
        <w:autoSpaceDN w:val="0"/>
        <w:adjustRightInd w:val="0"/>
        <w:spacing w:after="0" w:line="240" w:lineRule="auto"/>
        <w:jc w:val="both"/>
        <w:rPr>
          <w:rFonts w:ascii="Arial" w:hAnsi="Arial" w:cs="Arial"/>
          <w:b/>
          <w:bCs/>
        </w:rPr>
      </w:pPr>
      <w:r w:rsidRPr="008F2E66">
        <w:rPr>
          <w:rFonts w:ascii="Arial" w:hAnsi="Arial" w:cs="Arial"/>
          <w:b/>
          <w:bCs/>
        </w:rPr>
        <w:t>Antecedentes sobre el problema de seguridad</w:t>
      </w:r>
    </w:p>
    <w:p w14:paraId="502FF497" w14:textId="09DD884E" w:rsidR="008F2E66" w:rsidRDefault="008F2E66" w:rsidP="008058C1">
      <w:pPr>
        <w:autoSpaceDE w:val="0"/>
        <w:autoSpaceDN w:val="0"/>
        <w:adjustRightInd w:val="0"/>
        <w:spacing w:after="0" w:line="240" w:lineRule="auto"/>
        <w:jc w:val="both"/>
        <w:rPr>
          <w:rFonts w:ascii="Arial" w:hAnsi="Arial" w:cs="Arial"/>
        </w:rPr>
      </w:pPr>
      <w:r>
        <w:rPr>
          <w:rFonts w:ascii="Arial" w:hAnsi="Arial" w:cs="Arial"/>
        </w:rPr>
        <w:t xml:space="preserve">La agranulocitosis, un riesgo bien conocido asociado con el uso de clozapina, se minimiza mediante la monitorización hematológica de rutina, como se describe en el resumen de las características del producto o monografía. </w:t>
      </w:r>
    </w:p>
    <w:p w14:paraId="58873FE9" w14:textId="77777777" w:rsidR="008F2E66" w:rsidRDefault="008F2E66" w:rsidP="008058C1">
      <w:pPr>
        <w:autoSpaceDE w:val="0"/>
        <w:autoSpaceDN w:val="0"/>
        <w:adjustRightInd w:val="0"/>
        <w:spacing w:after="0" w:line="240" w:lineRule="auto"/>
        <w:jc w:val="both"/>
        <w:rPr>
          <w:rFonts w:ascii="Arial" w:hAnsi="Arial" w:cs="Arial"/>
        </w:rPr>
      </w:pPr>
    </w:p>
    <w:p w14:paraId="71EE5311" w14:textId="7939BB1A" w:rsidR="008F2E66" w:rsidRDefault="008F2E66" w:rsidP="008058C1">
      <w:pPr>
        <w:autoSpaceDE w:val="0"/>
        <w:autoSpaceDN w:val="0"/>
        <w:adjustRightInd w:val="0"/>
        <w:spacing w:after="0" w:line="240" w:lineRule="auto"/>
        <w:jc w:val="both"/>
        <w:rPr>
          <w:rFonts w:ascii="Arial" w:hAnsi="Arial" w:cs="Arial"/>
        </w:rPr>
      </w:pPr>
      <w:r>
        <w:rPr>
          <w:rFonts w:ascii="Arial" w:hAnsi="Arial" w:cs="Arial"/>
        </w:rPr>
        <w:t xml:space="preserve">Tras una revisión a nivel de la Unión Europea (UE) realizada por la Agencia Europea de Medicamentos (EMA) sobre el riesgo de neutropenia y agranulocitosis con clozapina, se han revisado las recomendaciones para la monitorización rutinaria del hemograma. </w:t>
      </w:r>
    </w:p>
    <w:p w14:paraId="27EF3587" w14:textId="77777777" w:rsidR="002435C3" w:rsidRDefault="002435C3" w:rsidP="008058C1">
      <w:pPr>
        <w:autoSpaceDE w:val="0"/>
        <w:autoSpaceDN w:val="0"/>
        <w:adjustRightInd w:val="0"/>
        <w:spacing w:after="0" w:line="240" w:lineRule="auto"/>
        <w:jc w:val="both"/>
        <w:rPr>
          <w:rFonts w:ascii="Arial" w:hAnsi="Arial" w:cs="Arial"/>
        </w:rPr>
      </w:pPr>
    </w:p>
    <w:p w14:paraId="40E6C14D" w14:textId="23B167ED" w:rsidR="008F2E66" w:rsidRDefault="008F2E66" w:rsidP="008058C1">
      <w:pPr>
        <w:autoSpaceDE w:val="0"/>
        <w:autoSpaceDN w:val="0"/>
        <w:adjustRightInd w:val="0"/>
        <w:spacing w:after="0" w:line="240" w:lineRule="auto"/>
        <w:jc w:val="both"/>
        <w:rPr>
          <w:rFonts w:ascii="Arial" w:hAnsi="Arial" w:cs="Arial"/>
        </w:rPr>
      </w:pPr>
      <w:r>
        <w:rPr>
          <w:rFonts w:ascii="Arial" w:hAnsi="Arial" w:cs="Arial"/>
        </w:rPr>
        <w:t xml:space="preserve">Nueva evidencia de la literatura científica sugiere que, aunque la neutropenia inducida por clozapina puede ocurrir en cualquier momento </w:t>
      </w:r>
      <w:r w:rsidR="007B0ED5">
        <w:rPr>
          <w:rFonts w:ascii="Arial" w:hAnsi="Arial" w:cs="Arial"/>
        </w:rPr>
        <w:t xml:space="preserve">durante el tratamiento, se observa predominantemente durante el primer año, con una incidencia máxima en las primeras 18 semanas de tratamiento. Después de este punto temporal, la incidencia disminuye, volviéndose progresivamente menor después de dos años de tratamiento en pacientes sin un episodio previo de neutropenia. Un gran metaanálisis realizado por </w:t>
      </w:r>
      <w:proofErr w:type="spellStart"/>
      <w:r w:rsidR="007B0ED5">
        <w:rPr>
          <w:rFonts w:ascii="Arial" w:hAnsi="Arial" w:cs="Arial"/>
        </w:rPr>
        <w:t>Myles</w:t>
      </w:r>
      <w:proofErr w:type="spellEnd"/>
      <w:r w:rsidR="007B0ED5">
        <w:rPr>
          <w:rFonts w:ascii="Arial" w:hAnsi="Arial" w:cs="Arial"/>
        </w:rPr>
        <w:t xml:space="preserve"> et al. (Acta </w:t>
      </w:r>
      <w:proofErr w:type="spellStart"/>
      <w:r w:rsidR="007B0ED5">
        <w:rPr>
          <w:rFonts w:ascii="Arial" w:hAnsi="Arial" w:cs="Arial"/>
        </w:rPr>
        <w:t>Psychiart</w:t>
      </w:r>
      <w:proofErr w:type="spellEnd"/>
      <w:r w:rsidR="007B0ED5">
        <w:rPr>
          <w:rFonts w:ascii="Arial" w:hAnsi="Arial" w:cs="Arial"/>
        </w:rPr>
        <w:t xml:space="preserve"> </w:t>
      </w:r>
      <w:proofErr w:type="spellStart"/>
      <w:r w:rsidR="007B0ED5">
        <w:rPr>
          <w:rFonts w:ascii="Arial" w:hAnsi="Arial" w:cs="Arial"/>
        </w:rPr>
        <w:t>Scand</w:t>
      </w:r>
      <w:proofErr w:type="spellEnd"/>
      <w:r w:rsidR="007B0ED5">
        <w:rPr>
          <w:rFonts w:ascii="Arial" w:hAnsi="Arial" w:cs="Arial"/>
        </w:rPr>
        <w:t xml:space="preserve"> 2018: 138: 101-109), que incluyo datos de 108 estudios que abarcaron a más de 450,000 pacientes expuestos a clozapina, informo que la incidencia máxima de neutropenia grave ocurrió durante el primer mes de tratamiento, con el 89% del total de eventos registrados a los 24 meses y solo un aumento menor a los 36 meses y más. La incidencia de neutropenia asociada a clozapina fue del 3.8% (IC del 95%: 2.7-5.2%) y la de neutropenia </w:t>
      </w:r>
      <w:r w:rsidR="0068165B">
        <w:rPr>
          <w:rFonts w:ascii="Arial" w:hAnsi="Arial" w:cs="Arial"/>
        </w:rPr>
        <w:t>grave del</w:t>
      </w:r>
      <w:r w:rsidR="007B0ED5">
        <w:rPr>
          <w:rFonts w:ascii="Arial" w:hAnsi="Arial" w:cs="Arial"/>
        </w:rPr>
        <w:t xml:space="preserve"> 0.9% (IC del 95%: 0.7-1.1%). De forma similar, un amplio estudio de cohorte retrospectivo realizado en Australia/Nueva Zelanda (Lancet, vol. 11, ebnero0 de 2024) analizó datos de más de 26.630</w:t>
      </w:r>
      <w:r w:rsidR="00A161E9">
        <w:rPr>
          <w:rFonts w:ascii="Arial" w:hAnsi="Arial" w:cs="Arial"/>
        </w:rPr>
        <w:t xml:space="preserve"> pacientes tratados con clozapina durante un período de 32 años (1990-2022). Este estudio halló que, en personas sin exposición previa a clozapina (n=15.973), la incidencia acumulada de neutropenia grave que condujo al abandono del tratamiento fue del 0.9% a las 18 semanas y del 1.4% a los 2 años. La tasa de incidencia semanal de neutropenia grave que provocó la interrupción alcanzó su punto máximo a las 9 semanas (0.128%) y descendió a una incidencia semanal media móvil del 0.001% a los 2 años. </w:t>
      </w:r>
    </w:p>
    <w:p w14:paraId="623F1EEA" w14:textId="77777777" w:rsidR="008F2E66" w:rsidRDefault="008F2E66" w:rsidP="008058C1">
      <w:pPr>
        <w:autoSpaceDE w:val="0"/>
        <w:autoSpaceDN w:val="0"/>
        <w:adjustRightInd w:val="0"/>
        <w:spacing w:after="0" w:line="240" w:lineRule="auto"/>
        <w:jc w:val="both"/>
        <w:rPr>
          <w:rFonts w:ascii="Arial" w:hAnsi="Arial" w:cs="Arial"/>
        </w:rPr>
      </w:pPr>
    </w:p>
    <w:p w14:paraId="7F281069" w14:textId="77777777" w:rsidR="00A161E9" w:rsidRDefault="00A161E9" w:rsidP="008058C1">
      <w:pPr>
        <w:autoSpaceDE w:val="0"/>
        <w:autoSpaceDN w:val="0"/>
        <w:adjustRightInd w:val="0"/>
        <w:spacing w:after="0" w:line="240" w:lineRule="auto"/>
        <w:jc w:val="both"/>
        <w:rPr>
          <w:rFonts w:ascii="Arial" w:hAnsi="Arial" w:cs="Arial"/>
          <w:lang w:val="es-PA"/>
        </w:rPr>
      </w:pPr>
    </w:p>
    <w:p w14:paraId="4C054C23" w14:textId="77777777" w:rsidR="00A161E9" w:rsidRPr="001B3F4A" w:rsidRDefault="00A161E9" w:rsidP="00A161E9">
      <w:pPr>
        <w:autoSpaceDE w:val="0"/>
        <w:autoSpaceDN w:val="0"/>
        <w:adjustRightInd w:val="0"/>
        <w:spacing w:after="0" w:line="240" w:lineRule="auto"/>
        <w:jc w:val="right"/>
        <w:rPr>
          <w:rFonts w:ascii="Arial" w:eastAsia="Times New Roman" w:hAnsi="Arial" w:cs="Arial"/>
          <w:lang w:val="es-PA"/>
        </w:rPr>
      </w:pPr>
      <w:r w:rsidRPr="001B3F4A">
        <w:rPr>
          <w:rFonts w:ascii="Arial" w:eastAsia="Times New Roman" w:hAnsi="Arial" w:cs="Times New Roman"/>
        </w:rPr>
        <w:lastRenderedPageBreak/>
        <w:t>Página 2</w:t>
      </w:r>
    </w:p>
    <w:p w14:paraId="0246B96E" w14:textId="06CE94EE" w:rsidR="00A161E9" w:rsidRPr="001B3F4A" w:rsidRDefault="00A161E9" w:rsidP="00A161E9">
      <w:pPr>
        <w:spacing w:after="0" w:line="240" w:lineRule="auto"/>
        <w:ind w:left="4956"/>
        <w:rPr>
          <w:rFonts w:ascii="Arial" w:eastAsia="Times New Roman" w:hAnsi="Arial" w:cs="Times New Roman"/>
        </w:rPr>
      </w:pPr>
      <w:r>
        <w:rPr>
          <w:rFonts w:ascii="Arial" w:eastAsia="Times New Roman" w:hAnsi="Arial" w:cs="Times New Roman"/>
        </w:rPr>
        <w:t xml:space="preserve">    </w:t>
      </w:r>
      <w:r w:rsidRPr="001B3F4A">
        <w:rPr>
          <w:rFonts w:ascii="Arial" w:eastAsia="Times New Roman" w:hAnsi="Arial" w:cs="Times New Roman"/>
        </w:rPr>
        <w:t xml:space="preserve">Nota </w:t>
      </w:r>
      <w:proofErr w:type="spellStart"/>
      <w:r w:rsidRPr="001B3F4A">
        <w:rPr>
          <w:rFonts w:ascii="Arial" w:eastAsia="Times New Roman" w:hAnsi="Arial" w:cs="Times New Roman"/>
        </w:rPr>
        <w:t>N°</w:t>
      </w:r>
      <w:proofErr w:type="spellEnd"/>
      <w:r w:rsidRPr="001B3F4A">
        <w:rPr>
          <w:rFonts w:ascii="Arial" w:eastAsia="Times New Roman" w:hAnsi="Arial" w:cs="Times New Roman"/>
        </w:rPr>
        <w:t xml:space="preserve"> </w:t>
      </w:r>
      <w:r>
        <w:rPr>
          <w:rFonts w:ascii="Arial" w:eastAsia="Times New Roman" w:hAnsi="Arial" w:cs="Times New Roman"/>
        </w:rPr>
        <w:t>0</w:t>
      </w:r>
      <w:r w:rsidR="00C14528">
        <w:rPr>
          <w:rFonts w:ascii="Arial" w:eastAsia="Times New Roman" w:hAnsi="Arial" w:cs="Times New Roman"/>
        </w:rPr>
        <w:t>92</w:t>
      </w:r>
      <w:r w:rsidRPr="001B3F4A">
        <w:rPr>
          <w:rFonts w:ascii="Arial" w:eastAsia="Times New Roman" w:hAnsi="Arial" w:cs="Times New Roman"/>
        </w:rPr>
        <w:t>-CNFV-DFV-DNFD-2025</w:t>
      </w:r>
    </w:p>
    <w:p w14:paraId="6E4454D9" w14:textId="0697A151" w:rsidR="00A161E9" w:rsidRDefault="00A161E9" w:rsidP="00A161E9">
      <w:pPr>
        <w:spacing w:after="0" w:line="240" w:lineRule="auto"/>
        <w:ind w:left="720"/>
        <w:contextualSpacing/>
        <w:rPr>
          <w:rFonts w:ascii="Arial" w:eastAsia="Times New Roman" w:hAnsi="Arial" w:cs="Times New Roman"/>
        </w:rPr>
      </w:pPr>
      <w:r w:rsidRPr="001B3F4A">
        <w:rPr>
          <w:rFonts w:ascii="Arial" w:eastAsia="Times New Roman" w:hAnsi="Arial" w:cs="Times New Roman"/>
        </w:rPr>
        <w:tab/>
      </w:r>
      <w:r w:rsidRPr="001B3F4A">
        <w:rPr>
          <w:rFonts w:ascii="Arial" w:eastAsia="Times New Roman" w:hAnsi="Arial" w:cs="Times New Roman"/>
        </w:rPr>
        <w:tab/>
      </w:r>
      <w:r w:rsidRPr="001B3F4A">
        <w:rPr>
          <w:rFonts w:ascii="Arial" w:eastAsia="Times New Roman" w:hAnsi="Arial" w:cs="Times New Roman"/>
        </w:rPr>
        <w:tab/>
      </w:r>
      <w:r w:rsidRPr="001B3F4A">
        <w:rPr>
          <w:rFonts w:ascii="Arial" w:eastAsia="Times New Roman" w:hAnsi="Arial" w:cs="Times New Roman"/>
        </w:rPr>
        <w:tab/>
      </w:r>
      <w:r w:rsidRPr="001B3F4A">
        <w:rPr>
          <w:rFonts w:ascii="Arial" w:eastAsia="Times New Roman" w:hAnsi="Arial" w:cs="Times New Roman"/>
        </w:rPr>
        <w:tab/>
      </w:r>
      <w:r w:rsidRPr="001B3F4A">
        <w:rPr>
          <w:rFonts w:ascii="Arial" w:eastAsia="Times New Roman" w:hAnsi="Arial" w:cs="Times New Roman"/>
        </w:rPr>
        <w:tab/>
        <w:t xml:space="preserve">      Panamá, </w:t>
      </w:r>
      <w:r>
        <w:rPr>
          <w:rFonts w:ascii="Arial" w:eastAsia="Times New Roman" w:hAnsi="Arial" w:cs="Times New Roman"/>
        </w:rPr>
        <w:t>26</w:t>
      </w:r>
      <w:r w:rsidRPr="001B3F4A">
        <w:rPr>
          <w:rFonts w:ascii="Arial" w:eastAsia="Times New Roman" w:hAnsi="Arial" w:cs="Times New Roman"/>
        </w:rPr>
        <w:t xml:space="preserve"> de </w:t>
      </w:r>
      <w:r>
        <w:rPr>
          <w:rFonts w:ascii="Arial" w:eastAsia="Times New Roman" w:hAnsi="Arial" w:cs="Times New Roman"/>
        </w:rPr>
        <w:t>septiembre</w:t>
      </w:r>
      <w:r w:rsidRPr="001B3F4A">
        <w:rPr>
          <w:rFonts w:ascii="Arial" w:eastAsia="Times New Roman" w:hAnsi="Arial" w:cs="Times New Roman"/>
        </w:rPr>
        <w:t xml:space="preserve"> de 2025 </w:t>
      </w:r>
    </w:p>
    <w:p w14:paraId="13DC36E4" w14:textId="77777777" w:rsidR="00A161E9" w:rsidRDefault="00A161E9" w:rsidP="008058C1">
      <w:pPr>
        <w:autoSpaceDE w:val="0"/>
        <w:autoSpaceDN w:val="0"/>
        <w:adjustRightInd w:val="0"/>
        <w:spacing w:after="0" w:line="240" w:lineRule="auto"/>
        <w:jc w:val="both"/>
        <w:rPr>
          <w:rFonts w:ascii="Arial" w:hAnsi="Arial" w:cs="Arial"/>
          <w:lang w:val="es-PA"/>
        </w:rPr>
      </w:pPr>
    </w:p>
    <w:p w14:paraId="6710DFE9" w14:textId="77777777" w:rsidR="00A161E9" w:rsidRDefault="00A161E9" w:rsidP="008058C1">
      <w:pPr>
        <w:autoSpaceDE w:val="0"/>
        <w:autoSpaceDN w:val="0"/>
        <w:adjustRightInd w:val="0"/>
        <w:spacing w:after="0" w:line="240" w:lineRule="auto"/>
        <w:jc w:val="both"/>
        <w:rPr>
          <w:rFonts w:ascii="Arial" w:hAnsi="Arial" w:cs="Arial"/>
          <w:lang w:val="es-PA"/>
        </w:rPr>
      </w:pPr>
    </w:p>
    <w:p w14:paraId="2BD244F2" w14:textId="77777777" w:rsidR="00454DC4" w:rsidRDefault="00454DC4" w:rsidP="008058C1">
      <w:pPr>
        <w:autoSpaceDE w:val="0"/>
        <w:autoSpaceDN w:val="0"/>
        <w:adjustRightInd w:val="0"/>
        <w:spacing w:after="0" w:line="240" w:lineRule="auto"/>
        <w:jc w:val="both"/>
        <w:rPr>
          <w:rFonts w:ascii="Arial" w:hAnsi="Arial" w:cs="Arial"/>
          <w:lang w:val="es-PA"/>
        </w:rPr>
      </w:pPr>
    </w:p>
    <w:p w14:paraId="560ED63A" w14:textId="7FC9F5A6" w:rsidR="00A161E9" w:rsidRDefault="00A161E9" w:rsidP="008058C1">
      <w:pPr>
        <w:autoSpaceDE w:val="0"/>
        <w:autoSpaceDN w:val="0"/>
        <w:adjustRightInd w:val="0"/>
        <w:spacing w:after="0" w:line="240" w:lineRule="auto"/>
        <w:jc w:val="both"/>
        <w:rPr>
          <w:rFonts w:ascii="Arial" w:hAnsi="Arial" w:cs="Arial"/>
          <w:lang w:val="es-PA"/>
        </w:rPr>
      </w:pPr>
      <w:r>
        <w:rPr>
          <w:rFonts w:ascii="Arial" w:hAnsi="Arial" w:cs="Arial"/>
          <w:lang w:val="es-PA"/>
        </w:rPr>
        <w:t xml:space="preserve">Estos hallazgos también están </w:t>
      </w:r>
      <w:r w:rsidR="00454DC4">
        <w:rPr>
          <w:rFonts w:ascii="Arial" w:hAnsi="Arial" w:cs="Arial"/>
          <w:lang w:val="es-PA"/>
        </w:rPr>
        <w:t>corroborados por análisis basados en registros de Reino Unido e Irlanda (</w:t>
      </w:r>
      <w:proofErr w:type="spellStart"/>
      <w:r w:rsidR="00454DC4">
        <w:rPr>
          <w:rFonts w:ascii="Arial" w:hAnsi="Arial" w:cs="Arial"/>
          <w:lang w:val="es-PA"/>
        </w:rPr>
        <w:t>Atkin</w:t>
      </w:r>
      <w:proofErr w:type="spellEnd"/>
      <w:r w:rsidR="00454DC4">
        <w:rPr>
          <w:rFonts w:ascii="Arial" w:hAnsi="Arial" w:cs="Arial"/>
          <w:lang w:val="es-PA"/>
        </w:rPr>
        <w:t xml:space="preserve"> et al. Br J </w:t>
      </w:r>
      <w:proofErr w:type="spellStart"/>
      <w:r w:rsidR="00454DC4">
        <w:rPr>
          <w:rFonts w:ascii="Arial" w:hAnsi="Arial" w:cs="Arial"/>
          <w:lang w:val="es-PA"/>
        </w:rPr>
        <w:t>Psychiatry</w:t>
      </w:r>
      <w:proofErr w:type="spellEnd"/>
      <w:r w:rsidR="00454DC4">
        <w:rPr>
          <w:rFonts w:ascii="Arial" w:hAnsi="Arial" w:cs="Arial"/>
          <w:lang w:val="es-PA"/>
        </w:rPr>
        <w:t xml:space="preserve">) que examinaron a más de 6300 pacientes en un servicio nacional de monitorización de clozapina, mostrando que la incidencia máxima de agranulocitosis se produjo en las primeras 6-18 semanas de tratamiento, y de un registro de Chile (Mena et al. </w:t>
      </w:r>
      <w:proofErr w:type="spellStart"/>
      <w:r w:rsidR="00454DC4">
        <w:rPr>
          <w:rFonts w:ascii="Arial" w:hAnsi="Arial" w:cs="Arial"/>
          <w:lang w:val="es-PA"/>
        </w:rPr>
        <w:t>Int</w:t>
      </w:r>
      <w:proofErr w:type="spellEnd"/>
      <w:r w:rsidR="00454DC4">
        <w:rPr>
          <w:rFonts w:ascii="Arial" w:hAnsi="Arial" w:cs="Arial"/>
          <w:lang w:val="es-PA"/>
        </w:rPr>
        <w:t xml:space="preserve"> Clin </w:t>
      </w:r>
      <w:proofErr w:type="spellStart"/>
      <w:r w:rsidR="00454DC4">
        <w:rPr>
          <w:rFonts w:ascii="Arial" w:hAnsi="Arial" w:cs="Arial"/>
          <w:lang w:val="es-PA"/>
        </w:rPr>
        <w:t>Psychopharmacol</w:t>
      </w:r>
      <w:proofErr w:type="spellEnd"/>
      <w:r w:rsidR="00454DC4">
        <w:rPr>
          <w:rFonts w:ascii="Arial" w:hAnsi="Arial" w:cs="Arial"/>
          <w:lang w:val="es-PA"/>
        </w:rPr>
        <w:t xml:space="preserve"> 2019). Este estudio, basado en datos de un registro nacional de farmacovigilancia entre más de 5000 personas en Chile</w:t>
      </w:r>
      <w:r w:rsidR="00210363">
        <w:rPr>
          <w:rFonts w:ascii="Arial" w:hAnsi="Arial" w:cs="Arial"/>
          <w:lang w:val="es-PA"/>
        </w:rPr>
        <w:t xml:space="preserve">, </w:t>
      </w:r>
      <w:r w:rsidR="00454DC4">
        <w:rPr>
          <w:rFonts w:ascii="Arial" w:hAnsi="Arial" w:cs="Arial"/>
          <w:lang w:val="es-PA"/>
        </w:rPr>
        <w:t>que comenzaron a tomar clozapina</w:t>
      </w:r>
      <w:r w:rsidR="00210363">
        <w:rPr>
          <w:rFonts w:ascii="Arial" w:hAnsi="Arial" w:cs="Arial"/>
          <w:lang w:val="es-PA"/>
        </w:rPr>
        <w:t>, m</w:t>
      </w:r>
      <w:r w:rsidR="00454DC4">
        <w:rPr>
          <w:rFonts w:ascii="Arial" w:hAnsi="Arial" w:cs="Arial"/>
          <w:lang w:val="es-PA"/>
        </w:rPr>
        <w:t xml:space="preserve">ostró que el 87.9% de los casos de neutropenia grave ocurrieron en las primeras 18 semanas. </w:t>
      </w:r>
    </w:p>
    <w:p w14:paraId="30F6FC7C" w14:textId="77777777" w:rsidR="00454DC4" w:rsidRDefault="00454DC4" w:rsidP="008058C1">
      <w:pPr>
        <w:autoSpaceDE w:val="0"/>
        <w:autoSpaceDN w:val="0"/>
        <w:adjustRightInd w:val="0"/>
        <w:spacing w:after="0" w:line="240" w:lineRule="auto"/>
        <w:jc w:val="both"/>
        <w:rPr>
          <w:rFonts w:ascii="Arial" w:hAnsi="Arial" w:cs="Arial"/>
          <w:lang w:val="es-PA"/>
        </w:rPr>
      </w:pPr>
    </w:p>
    <w:p w14:paraId="69597C83" w14:textId="22020851" w:rsidR="00454DC4" w:rsidRDefault="00454DC4" w:rsidP="008058C1">
      <w:pPr>
        <w:autoSpaceDE w:val="0"/>
        <w:autoSpaceDN w:val="0"/>
        <w:adjustRightInd w:val="0"/>
        <w:spacing w:after="0" w:line="240" w:lineRule="auto"/>
        <w:jc w:val="both"/>
        <w:rPr>
          <w:rFonts w:ascii="Arial" w:hAnsi="Arial" w:cs="Arial"/>
          <w:lang w:val="es-PA"/>
        </w:rPr>
      </w:pPr>
      <w:r>
        <w:rPr>
          <w:rFonts w:ascii="Arial" w:hAnsi="Arial" w:cs="Arial"/>
          <w:lang w:val="es-PA"/>
        </w:rPr>
        <w:t>Además, ahora se recomienda que la monitorización se base únicamente en el Recuento Ab soluto de Neutrófilos (ANC), en consonancia con la evidencia actual de que el ANC es un marcador más específico y clínicamente relevante para evaluar el riesgo de neutropenia. Por lo tanto, se ha eliminado el requisito de monitorizar el Recuento de glóbulos blancos (WBC).</w:t>
      </w:r>
    </w:p>
    <w:p w14:paraId="5236AA86" w14:textId="77777777" w:rsidR="00454DC4" w:rsidRDefault="00454DC4" w:rsidP="008058C1">
      <w:pPr>
        <w:autoSpaceDE w:val="0"/>
        <w:autoSpaceDN w:val="0"/>
        <w:adjustRightInd w:val="0"/>
        <w:spacing w:after="0" w:line="240" w:lineRule="auto"/>
        <w:jc w:val="both"/>
        <w:rPr>
          <w:rFonts w:ascii="Arial" w:hAnsi="Arial" w:cs="Arial"/>
          <w:lang w:val="es-PA"/>
        </w:rPr>
      </w:pPr>
    </w:p>
    <w:p w14:paraId="1917C1A3" w14:textId="0579195B" w:rsidR="00454DC4" w:rsidRPr="00454DC4" w:rsidRDefault="00454DC4" w:rsidP="008058C1">
      <w:pPr>
        <w:autoSpaceDE w:val="0"/>
        <w:autoSpaceDN w:val="0"/>
        <w:adjustRightInd w:val="0"/>
        <w:spacing w:after="0" w:line="240" w:lineRule="auto"/>
        <w:jc w:val="both"/>
        <w:rPr>
          <w:rFonts w:ascii="Arial" w:hAnsi="Arial" w:cs="Arial"/>
          <w:lang w:val="es-PA"/>
        </w:rPr>
      </w:pPr>
      <w:r>
        <w:rPr>
          <w:rFonts w:ascii="Arial" w:hAnsi="Arial" w:cs="Arial"/>
          <w:lang w:val="es-PA"/>
        </w:rPr>
        <w:t>Se deben considerar nuevos umbrales de ANC para los pacientes en general, así como para los pacientes con Neutropenia Étnica Benigna (BEN). El uso de la clozapina debe limitarse en la población general a pacientes con un ANC inicial ≥1500/mm</w:t>
      </w:r>
      <w:r>
        <w:rPr>
          <w:rFonts w:ascii="Arial" w:hAnsi="Arial" w:cs="Arial"/>
          <w:vertAlign w:val="superscript"/>
          <w:lang w:val="es-PA"/>
        </w:rPr>
        <w:t xml:space="preserve">3 </w:t>
      </w:r>
      <w:r>
        <w:rPr>
          <w:rFonts w:ascii="Arial" w:hAnsi="Arial" w:cs="Arial"/>
        </w:rPr>
        <w:t>(≥1.5 x 10</w:t>
      </w:r>
      <w:r>
        <w:rPr>
          <w:rFonts w:ascii="Arial" w:hAnsi="Arial" w:cs="Arial"/>
          <w:vertAlign w:val="superscript"/>
        </w:rPr>
        <w:t>9</w:t>
      </w:r>
      <w:r>
        <w:rPr>
          <w:rFonts w:ascii="Arial" w:hAnsi="Arial" w:cs="Arial"/>
        </w:rPr>
        <w:t xml:space="preserve">/L) y </w:t>
      </w:r>
      <w:r w:rsidRPr="00454DC4">
        <w:rPr>
          <w:rFonts w:ascii="Arial" w:hAnsi="Arial" w:cs="Arial"/>
        </w:rPr>
        <w:t>en pacientes con</w:t>
      </w:r>
      <w:r>
        <w:rPr>
          <w:rFonts w:ascii="Arial" w:hAnsi="Arial" w:cs="Arial"/>
        </w:rPr>
        <w:t xml:space="preserve"> </w:t>
      </w:r>
      <w:r w:rsidRPr="00454DC4">
        <w:rPr>
          <w:rFonts w:ascii="Arial" w:hAnsi="Arial" w:cs="Arial"/>
        </w:rPr>
        <w:t>BEN con ANC ≥1000/mm3 (≥1.0 x 10</w:t>
      </w:r>
      <w:r>
        <w:rPr>
          <w:rFonts w:ascii="Arial" w:hAnsi="Arial" w:cs="Arial"/>
          <w:vertAlign w:val="superscript"/>
        </w:rPr>
        <w:t>9</w:t>
      </w:r>
      <w:r w:rsidRPr="00454DC4">
        <w:rPr>
          <w:rFonts w:ascii="Arial" w:hAnsi="Arial" w:cs="Arial"/>
        </w:rPr>
        <w:t>/L).</w:t>
      </w:r>
      <w:r>
        <w:rPr>
          <w:rFonts w:ascii="Arial" w:hAnsi="Arial" w:cs="Arial"/>
        </w:rPr>
        <w:t xml:space="preserve"> La reducción de los umbrales de ANC para pacientes con BEN no compromete la seguridad del paciente y ayuda a prevenir la interrupción innecesaria del tratamiento.</w:t>
      </w:r>
    </w:p>
    <w:p w14:paraId="5661CA73" w14:textId="4FA02B3A" w:rsidR="00A161E9" w:rsidRDefault="00454DC4" w:rsidP="008058C1">
      <w:pPr>
        <w:autoSpaceDE w:val="0"/>
        <w:autoSpaceDN w:val="0"/>
        <w:adjustRightInd w:val="0"/>
        <w:spacing w:after="0" w:line="240" w:lineRule="auto"/>
        <w:jc w:val="both"/>
        <w:rPr>
          <w:rFonts w:ascii="Arial" w:hAnsi="Arial" w:cs="Arial"/>
          <w:lang w:val="es-PA"/>
        </w:rPr>
      </w:pPr>
      <w:r>
        <w:rPr>
          <w:rFonts w:ascii="Arial" w:hAnsi="Arial" w:cs="Arial"/>
          <w:lang w:val="es-PA"/>
        </w:rPr>
        <w:t xml:space="preserve"> </w:t>
      </w:r>
    </w:p>
    <w:p w14:paraId="4B6D366C" w14:textId="066C05FC" w:rsidR="00A161E9" w:rsidRPr="00174470" w:rsidRDefault="00174470" w:rsidP="008058C1">
      <w:pPr>
        <w:autoSpaceDE w:val="0"/>
        <w:autoSpaceDN w:val="0"/>
        <w:adjustRightInd w:val="0"/>
        <w:spacing w:after="0" w:line="240" w:lineRule="auto"/>
        <w:jc w:val="both"/>
        <w:rPr>
          <w:rFonts w:ascii="Arial" w:hAnsi="Arial" w:cs="Arial"/>
          <w:b/>
          <w:bCs/>
          <w:lang w:val="es-PA"/>
        </w:rPr>
      </w:pPr>
      <w:r w:rsidRPr="00174470">
        <w:rPr>
          <w:rFonts w:ascii="Arial" w:hAnsi="Arial" w:cs="Arial"/>
          <w:b/>
          <w:bCs/>
          <w:lang w:val="es-PA"/>
        </w:rPr>
        <w:t>Resumen de la revisión de seguridad</w:t>
      </w:r>
    </w:p>
    <w:p w14:paraId="48480455" w14:textId="37CDA0C8" w:rsidR="00063294" w:rsidRDefault="009A14BF" w:rsidP="008058C1">
      <w:pPr>
        <w:autoSpaceDE w:val="0"/>
        <w:autoSpaceDN w:val="0"/>
        <w:adjustRightInd w:val="0"/>
        <w:spacing w:after="0" w:line="240" w:lineRule="auto"/>
        <w:jc w:val="both"/>
        <w:rPr>
          <w:rFonts w:ascii="Arial" w:hAnsi="Arial" w:cs="Arial"/>
        </w:rPr>
      </w:pPr>
      <w:r>
        <w:rPr>
          <w:rFonts w:ascii="Arial" w:hAnsi="Arial" w:cs="Arial"/>
          <w:lang w:val="es-PA"/>
        </w:rPr>
        <w:t xml:space="preserve">La clozapina aumenta el riesgo de neutropenia y agranulocitosis. Se deben realizar monitorizaciones regulares para minimizar este riesgo. Nuevas evidencias han dado lugar a recomendaciones revisadas para la monitorización. </w:t>
      </w:r>
    </w:p>
    <w:p w14:paraId="4A52A6A3" w14:textId="77777777" w:rsidR="00063294" w:rsidRDefault="00063294" w:rsidP="008058C1">
      <w:pPr>
        <w:autoSpaceDE w:val="0"/>
        <w:autoSpaceDN w:val="0"/>
        <w:adjustRightInd w:val="0"/>
        <w:spacing w:after="0" w:line="240" w:lineRule="auto"/>
        <w:jc w:val="both"/>
        <w:rPr>
          <w:rFonts w:ascii="Arial" w:hAnsi="Arial" w:cs="Arial"/>
        </w:rPr>
      </w:pPr>
    </w:p>
    <w:p w14:paraId="3BD4F1E5" w14:textId="03796943" w:rsidR="00063294" w:rsidRPr="00632CEC" w:rsidRDefault="00632CEC" w:rsidP="008058C1">
      <w:pPr>
        <w:autoSpaceDE w:val="0"/>
        <w:autoSpaceDN w:val="0"/>
        <w:adjustRightInd w:val="0"/>
        <w:spacing w:after="0" w:line="240" w:lineRule="auto"/>
        <w:jc w:val="both"/>
        <w:rPr>
          <w:rFonts w:ascii="Arial" w:hAnsi="Arial" w:cs="Arial"/>
          <w:b/>
          <w:bCs/>
          <w:u w:val="single"/>
        </w:rPr>
      </w:pPr>
      <w:r w:rsidRPr="00632CEC">
        <w:rPr>
          <w:rFonts w:ascii="Arial" w:hAnsi="Arial" w:cs="Arial"/>
          <w:b/>
          <w:bCs/>
          <w:u w:val="single"/>
        </w:rPr>
        <w:t xml:space="preserve">Umbrales de </w:t>
      </w:r>
      <w:r>
        <w:rPr>
          <w:rFonts w:ascii="Arial" w:hAnsi="Arial" w:cs="Arial"/>
          <w:b/>
          <w:bCs/>
          <w:u w:val="single"/>
        </w:rPr>
        <w:t>ANC</w:t>
      </w:r>
      <w:r w:rsidRPr="00632CEC">
        <w:rPr>
          <w:rFonts w:ascii="Arial" w:hAnsi="Arial" w:cs="Arial"/>
          <w:b/>
          <w:bCs/>
          <w:u w:val="single"/>
        </w:rPr>
        <w:t xml:space="preserve"> revisados:</w:t>
      </w:r>
    </w:p>
    <w:p w14:paraId="1FF2E58C" w14:textId="320A731C" w:rsidR="00632CEC" w:rsidRDefault="00632CEC" w:rsidP="00632CEC">
      <w:pPr>
        <w:pStyle w:val="Prrafodelista"/>
        <w:numPr>
          <w:ilvl w:val="0"/>
          <w:numId w:val="23"/>
        </w:numPr>
        <w:autoSpaceDE w:val="0"/>
        <w:autoSpaceDN w:val="0"/>
        <w:adjustRightInd w:val="0"/>
        <w:spacing w:after="0" w:line="240" w:lineRule="auto"/>
        <w:jc w:val="both"/>
        <w:rPr>
          <w:rFonts w:ascii="Arial" w:hAnsi="Arial" w:cs="Arial"/>
        </w:rPr>
      </w:pPr>
      <w:r>
        <w:rPr>
          <w:rFonts w:ascii="Arial" w:hAnsi="Arial" w:cs="Arial"/>
        </w:rPr>
        <w:t>El requisito de monitorización de recuento de Glóbulos Blancos (WBC, por sus siglas en inglés) se ha eliminado, ya que el Recuento Absoluto de Neutrófilos (ANC, por sus siglas en inglés) es suficiente.</w:t>
      </w:r>
    </w:p>
    <w:p w14:paraId="41AF9EFA" w14:textId="75F0B136" w:rsidR="00632CEC" w:rsidRDefault="00632CEC" w:rsidP="00632CEC">
      <w:pPr>
        <w:pStyle w:val="Prrafodelista"/>
        <w:numPr>
          <w:ilvl w:val="0"/>
          <w:numId w:val="23"/>
        </w:numPr>
        <w:autoSpaceDE w:val="0"/>
        <w:autoSpaceDN w:val="0"/>
        <w:adjustRightInd w:val="0"/>
        <w:spacing w:after="0" w:line="240" w:lineRule="auto"/>
        <w:jc w:val="both"/>
        <w:rPr>
          <w:rFonts w:ascii="Arial" w:hAnsi="Arial" w:cs="Arial"/>
        </w:rPr>
      </w:pPr>
      <w:r>
        <w:rPr>
          <w:rFonts w:ascii="Arial" w:hAnsi="Arial" w:cs="Arial"/>
        </w:rPr>
        <w:t xml:space="preserve">Los umbrales de ANC para el inicio y la continuación del tratamiento se han modificado de acuerdo con las definiciones </w:t>
      </w:r>
      <w:r w:rsidR="0087745B">
        <w:rPr>
          <w:rFonts w:ascii="Arial" w:hAnsi="Arial" w:cs="Arial"/>
        </w:rPr>
        <w:t>estándar de leve (ANC: 1000-1500/mm</w:t>
      </w:r>
      <w:r w:rsidR="0087745B">
        <w:rPr>
          <w:rFonts w:ascii="Arial" w:hAnsi="Arial" w:cs="Arial"/>
          <w:vertAlign w:val="superscript"/>
        </w:rPr>
        <w:t>3</w:t>
      </w:r>
      <w:r w:rsidR="0087745B">
        <w:rPr>
          <w:rFonts w:ascii="Arial" w:hAnsi="Arial" w:cs="Arial"/>
        </w:rPr>
        <w:t>), moderado (ANC: 500-999/mm</w:t>
      </w:r>
      <w:r w:rsidR="0087745B">
        <w:rPr>
          <w:rFonts w:ascii="Arial" w:hAnsi="Arial" w:cs="Arial"/>
          <w:vertAlign w:val="superscript"/>
        </w:rPr>
        <w:t>3</w:t>
      </w:r>
      <w:r w:rsidR="0087745B">
        <w:rPr>
          <w:rFonts w:ascii="Arial" w:hAnsi="Arial" w:cs="Arial"/>
        </w:rPr>
        <w:t>) y neutropenia grave (ANC &lt;500/mm</w:t>
      </w:r>
      <w:r w:rsidR="0087745B">
        <w:rPr>
          <w:rFonts w:ascii="Arial" w:hAnsi="Arial" w:cs="Arial"/>
          <w:vertAlign w:val="superscript"/>
        </w:rPr>
        <w:t>3</w:t>
      </w:r>
      <w:r w:rsidR="0087745B">
        <w:rPr>
          <w:rFonts w:ascii="Arial" w:hAnsi="Arial" w:cs="Arial"/>
        </w:rPr>
        <w:t>)</w:t>
      </w:r>
      <w:r w:rsidR="001C3A0A">
        <w:rPr>
          <w:rFonts w:ascii="Arial" w:hAnsi="Arial" w:cs="Arial"/>
        </w:rPr>
        <w:t>.</w:t>
      </w:r>
    </w:p>
    <w:p w14:paraId="6E43C57B" w14:textId="7E261211" w:rsidR="001C3A0A" w:rsidRPr="00632CEC" w:rsidRDefault="00C444E5" w:rsidP="00632CEC">
      <w:pPr>
        <w:pStyle w:val="Prrafodelista"/>
        <w:numPr>
          <w:ilvl w:val="0"/>
          <w:numId w:val="23"/>
        </w:numPr>
        <w:autoSpaceDE w:val="0"/>
        <w:autoSpaceDN w:val="0"/>
        <w:adjustRightInd w:val="0"/>
        <w:spacing w:after="0" w:line="240" w:lineRule="auto"/>
        <w:jc w:val="both"/>
        <w:rPr>
          <w:rFonts w:ascii="Arial" w:hAnsi="Arial" w:cs="Arial"/>
        </w:rPr>
      </w:pPr>
      <w:r>
        <w:rPr>
          <w:rFonts w:ascii="Arial" w:hAnsi="Arial" w:cs="Arial"/>
        </w:rPr>
        <w:t>El inicio de tratamiento con clozapina solo se recomienda en pacientes con ANC ≥1500/mm</w:t>
      </w:r>
      <w:r>
        <w:rPr>
          <w:rFonts w:ascii="Arial" w:hAnsi="Arial" w:cs="Arial"/>
          <w:vertAlign w:val="superscript"/>
        </w:rPr>
        <w:t xml:space="preserve">3 </w:t>
      </w:r>
      <w:r>
        <w:rPr>
          <w:rFonts w:ascii="Arial" w:hAnsi="Arial" w:cs="Arial"/>
        </w:rPr>
        <w:t>(≥1.5 x 10</w:t>
      </w:r>
      <w:r w:rsidR="005216D1">
        <w:rPr>
          <w:rFonts w:ascii="Arial" w:hAnsi="Arial" w:cs="Arial"/>
          <w:vertAlign w:val="superscript"/>
        </w:rPr>
        <w:t>9</w:t>
      </w:r>
      <w:r>
        <w:rPr>
          <w:rFonts w:ascii="Arial" w:hAnsi="Arial" w:cs="Arial"/>
        </w:rPr>
        <w:t xml:space="preserve">/L) y en pacientes con </w:t>
      </w:r>
      <w:r w:rsidR="005216D1">
        <w:rPr>
          <w:rFonts w:ascii="Arial" w:hAnsi="Arial" w:cs="Arial"/>
        </w:rPr>
        <w:t>Neutropenia Étnica Benigna (BEN, por sus siglas en inglés) con ANC ≥1000/mm</w:t>
      </w:r>
      <w:r w:rsidR="005216D1">
        <w:rPr>
          <w:rFonts w:ascii="Arial" w:hAnsi="Arial" w:cs="Arial"/>
          <w:vertAlign w:val="superscript"/>
        </w:rPr>
        <w:t xml:space="preserve">3 </w:t>
      </w:r>
      <w:r w:rsidR="005216D1">
        <w:rPr>
          <w:rFonts w:ascii="Arial" w:hAnsi="Arial" w:cs="Arial"/>
        </w:rPr>
        <w:t>(≥1.0 x 10</w:t>
      </w:r>
      <w:r w:rsidR="005216D1">
        <w:rPr>
          <w:rFonts w:ascii="Arial" w:hAnsi="Arial" w:cs="Arial"/>
          <w:vertAlign w:val="superscript"/>
        </w:rPr>
        <w:t>9</w:t>
      </w:r>
      <w:r w:rsidR="005216D1">
        <w:rPr>
          <w:rFonts w:ascii="Arial" w:hAnsi="Arial" w:cs="Arial"/>
        </w:rPr>
        <w:t>/L).</w:t>
      </w:r>
    </w:p>
    <w:p w14:paraId="4F92130B" w14:textId="77777777" w:rsidR="002435C3" w:rsidRDefault="002435C3" w:rsidP="008058C1">
      <w:pPr>
        <w:autoSpaceDE w:val="0"/>
        <w:autoSpaceDN w:val="0"/>
        <w:adjustRightInd w:val="0"/>
        <w:spacing w:after="0" w:line="240" w:lineRule="auto"/>
        <w:jc w:val="both"/>
        <w:rPr>
          <w:rFonts w:ascii="Arial" w:hAnsi="Arial" w:cs="Arial"/>
        </w:rPr>
      </w:pPr>
    </w:p>
    <w:p w14:paraId="3C489237" w14:textId="2BD199E8" w:rsidR="005216D1" w:rsidRPr="00632CEC" w:rsidRDefault="005216D1" w:rsidP="005216D1">
      <w:pPr>
        <w:autoSpaceDE w:val="0"/>
        <w:autoSpaceDN w:val="0"/>
        <w:adjustRightInd w:val="0"/>
        <w:spacing w:after="0" w:line="240" w:lineRule="auto"/>
        <w:jc w:val="both"/>
        <w:rPr>
          <w:rFonts w:ascii="Arial" w:hAnsi="Arial" w:cs="Arial"/>
          <w:b/>
          <w:bCs/>
          <w:u w:val="single"/>
        </w:rPr>
      </w:pPr>
      <w:r>
        <w:rPr>
          <w:rFonts w:ascii="Arial" w:hAnsi="Arial" w:cs="Arial"/>
          <w:b/>
          <w:bCs/>
          <w:u w:val="single"/>
        </w:rPr>
        <w:t>Requisitos</w:t>
      </w:r>
      <w:r w:rsidRPr="00632CEC">
        <w:rPr>
          <w:rFonts w:ascii="Arial" w:hAnsi="Arial" w:cs="Arial"/>
          <w:b/>
          <w:bCs/>
          <w:u w:val="single"/>
        </w:rPr>
        <w:t xml:space="preserve"> revisados</w:t>
      </w:r>
      <w:r>
        <w:rPr>
          <w:rFonts w:ascii="Arial" w:hAnsi="Arial" w:cs="Arial"/>
          <w:b/>
          <w:bCs/>
          <w:u w:val="single"/>
        </w:rPr>
        <w:t xml:space="preserve"> de monitorización del ANC</w:t>
      </w:r>
      <w:r w:rsidRPr="00632CEC">
        <w:rPr>
          <w:rFonts w:ascii="Arial" w:hAnsi="Arial" w:cs="Arial"/>
          <w:b/>
          <w:bCs/>
          <w:u w:val="single"/>
        </w:rPr>
        <w:t>:</w:t>
      </w:r>
    </w:p>
    <w:p w14:paraId="471E11C9" w14:textId="5F9F170D" w:rsidR="005216D1" w:rsidRDefault="005216D1" w:rsidP="005216D1">
      <w:pPr>
        <w:pStyle w:val="Prrafodelista"/>
        <w:numPr>
          <w:ilvl w:val="0"/>
          <w:numId w:val="23"/>
        </w:numPr>
        <w:autoSpaceDE w:val="0"/>
        <w:autoSpaceDN w:val="0"/>
        <w:adjustRightInd w:val="0"/>
        <w:spacing w:after="0" w:line="240" w:lineRule="auto"/>
        <w:jc w:val="both"/>
        <w:rPr>
          <w:rFonts w:ascii="Arial" w:hAnsi="Arial" w:cs="Arial"/>
        </w:rPr>
      </w:pPr>
      <w:r>
        <w:rPr>
          <w:rFonts w:ascii="Arial" w:hAnsi="Arial" w:cs="Arial"/>
        </w:rPr>
        <w:t>El ANC del paciente debe monitorizarse de la siguiente manera:</w:t>
      </w:r>
    </w:p>
    <w:p w14:paraId="0454FF78" w14:textId="6BEF805A" w:rsidR="005216D1" w:rsidRDefault="005216D1" w:rsidP="005216D1">
      <w:pPr>
        <w:pStyle w:val="Prrafodelista"/>
        <w:numPr>
          <w:ilvl w:val="0"/>
          <w:numId w:val="24"/>
        </w:numPr>
        <w:autoSpaceDE w:val="0"/>
        <w:autoSpaceDN w:val="0"/>
        <w:adjustRightInd w:val="0"/>
        <w:spacing w:after="0" w:line="240" w:lineRule="auto"/>
        <w:jc w:val="both"/>
        <w:rPr>
          <w:rFonts w:ascii="Arial" w:hAnsi="Arial" w:cs="Arial"/>
        </w:rPr>
      </w:pPr>
      <w:r>
        <w:rPr>
          <w:rFonts w:ascii="Arial" w:hAnsi="Arial" w:cs="Arial"/>
        </w:rPr>
        <w:t>Semanalmente durante las primeras 18 semanas de tratamiento.</w:t>
      </w:r>
    </w:p>
    <w:p w14:paraId="71718481" w14:textId="0B30B9CC" w:rsidR="005216D1" w:rsidRDefault="005216D1" w:rsidP="005216D1">
      <w:pPr>
        <w:pStyle w:val="Prrafodelista"/>
        <w:numPr>
          <w:ilvl w:val="0"/>
          <w:numId w:val="24"/>
        </w:numPr>
        <w:autoSpaceDE w:val="0"/>
        <w:autoSpaceDN w:val="0"/>
        <w:adjustRightInd w:val="0"/>
        <w:spacing w:after="0" w:line="240" w:lineRule="auto"/>
        <w:jc w:val="both"/>
        <w:rPr>
          <w:rFonts w:ascii="Arial" w:hAnsi="Arial" w:cs="Arial"/>
        </w:rPr>
      </w:pPr>
      <w:r>
        <w:rPr>
          <w:rFonts w:ascii="Arial" w:hAnsi="Arial" w:cs="Arial"/>
        </w:rPr>
        <w:t>Luego mensualmente durante las siguientes 34 semanas (es decir, hasta completar el primer año de tratamiento).</w:t>
      </w:r>
    </w:p>
    <w:p w14:paraId="2F31BB31" w14:textId="66AFE0CC" w:rsidR="005216D1" w:rsidRDefault="005216D1" w:rsidP="005216D1">
      <w:pPr>
        <w:pStyle w:val="Prrafodelista"/>
        <w:numPr>
          <w:ilvl w:val="0"/>
          <w:numId w:val="24"/>
        </w:numPr>
        <w:autoSpaceDE w:val="0"/>
        <w:autoSpaceDN w:val="0"/>
        <w:adjustRightInd w:val="0"/>
        <w:spacing w:after="0" w:line="240" w:lineRule="auto"/>
        <w:jc w:val="both"/>
        <w:rPr>
          <w:rFonts w:ascii="Arial" w:hAnsi="Arial" w:cs="Arial"/>
        </w:rPr>
      </w:pPr>
      <w:r>
        <w:rPr>
          <w:rFonts w:ascii="Arial" w:hAnsi="Arial" w:cs="Arial"/>
        </w:rPr>
        <w:t>Si no ha habido antecedentes de neutropenia durante el primer año de tratamiento, la monitorización de ANC puede reducirse a una vez cada 12 semanas.</w:t>
      </w:r>
    </w:p>
    <w:p w14:paraId="7CF6128E" w14:textId="540306B9" w:rsidR="005216D1" w:rsidRPr="005216D1" w:rsidRDefault="005216D1" w:rsidP="005216D1">
      <w:pPr>
        <w:pStyle w:val="Prrafodelista"/>
        <w:numPr>
          <w:ilvl w:val="0"/>
          <w:numId w:val="24"/>
        </w:numPr>
        <w:autoSpaceDE w:val="0"/>
        <w:autoSpaceDN w:val="0"/>
        <w:adjustRightInd w:val="0"/>
        <w:spacing w:after="0" w:line="240" w:lineRule="auto"/>
        <w:jc w:val="both"/>
        <w:rPr>
          <w:rFonts w:ascii="Arial" w:hAnsi="Arial" w:cs="Arial"/>
        </w:rPr>
      </w:pPr>
      <w:r>
        <w:rPr>
          <w:rFonts w:ascii="Arial" w:hAnsi="Arial" w:cs="Arial"/>
        </w:rPr>
        <w:t>Si no ha habido antecedentes de neutropenia durante los dos primeros años de tratamiento, el ANC debe recolectarse una vez al año.</w:t>
      </w:r>
    </w:p>
    <w:p w14:paraId="679D22A2" w14:textId="1E2748CE" w:rsidR="005216D1" w:rsidRDefault="005216D1" w:rsidP="005216D1">
      <w:pPr>
        <w:pStyle w:val="Prrafodelista"/>
        <w:numPr>
          <w:ilvl w:val="0"/>
          <w:numId w:val="23"/>
        </w:numPr>
        <w:autoSpaceDE w:val="0"/>
        <w:autoSpaceDN w:val="0"/>
        <w:adjustRightInd w:val="0"/>
        <w:spacing w:after="0" w:line="240" w:lineRule="auto"/>
        <w:jc w:val="both"/>
        <w:rPr>
          <w:rFonts w:ascii="Arial" w:hAnsi="Arial" w:cs="Arial"/>
        </w:rPr>
      </w:pPr>
      <w:r>
        <w:rPr>
          <w:rFonts w:ascii="Arial" w:hAnsi="Arial" w:cs="Arial"/>
        </w:rPr>
        <w:t>Se debe recordar a los pacientes en cada consulta que se pongan en contacto con su médico inmediatamente si se presentan signos o síntomas de infección. En caso de que se presenten tales síntomas, el ANC debe realizarse inmediatamente.</w:t>
      </w:r>
    </w:p>
    <w:p w14:paraId="1246A028" w14:textId="7ECE1FC5" w:rsidR="005216D1" w:rsidRPr="00632CEC" w:rsidRDefault="005216D1" w:rsidP="005216D1">
      <w:pPr>
        <w:pStyle w:val="Prrafodelista"/>
        <w:numPr>
          <w:ilvl w:val="0"/>
          <w:numId w:val="23"/>
        </w:numPr>
        <w:autoSpaceDE w:val="0"/>
        <w:autoSpaceDN w:val="0"/>
        <w:adjustRightInd w:val="0"/>
        <w:spacing w:after="0" w:line="240" w:lineRule="auto"/>
        <w:jc w:val="both"/>
        <w:rPr>
          <w:rFonts w:ascii="Arial" w:hAnsi="Arial" w:cs="Arial"/>
        </w:rPr>
      </w:pPr>
      <w:r>
        <w:rPr>
          <w:rFonts w:ascii="Arial" w:hAnsi="Arial" w:cs="Arial"/>
        </w:rPr>
        <w:t xml:space="preserve">Se puede considerar una monitorización adicional del ANC en pacientes de edad avanzada o con tratamiento concomitante con ácido valproico, especialmente durante el periodo de inicio. </w:t>
      </w:r>
    </w:p>
    <w:p w14:paraId="5507A9C7" w14:textId="77777777" w:rsidR="005216D1" w:rsidRPr="005216D1" w:rsidRDefault="005216D1" w:rsidP="008058C1">
      <w:pPr>
        <w:autoSpaceDE w:val="0"/>
        <w:autoSpaceDN w:val="0"/>
        <w:adjustRightInd w:val="0"/>
        <w:spacing w:after="0" w:line="240" w:lineRule="auto"/>
        <w:jc w:val="both"/>
        <w:rPr>
          <w:rFonts w:ascii="Arial" w:hAnsi="Arial" w:cs="Arial"/>
          <w:lang w:val="es-PA"/>
        </w:rPr>
      </w:pPr>
    </w:p>
    <w:p w14:paraId="6ADA287F" w14:textId="3DCA800F" w:rsidR="005216D1" w:rsidRPr="00632CEC" w:rsidRDefault="005216D1" w:rsidP="005216D1">
      <w:pPr>
        <w:autoSpaceDE w:val="0"/>
        <w:autoSpaceDN w:val="0"/>
        <w:adjustRightInd w:val="0"/>
        <w:spacing w:after="0" w:line="240" w:lineRule="auto"/>
        <w:jc w:val="both"/>
        <w:rPr>
          <w:rFonts w:ascii="Arial" w:hAnsi="Arial" w:cs="Arial"/>
          <w:b/>
          <w:bCs/>
          <w:u w:val="single"/>
        </w:rPr>
      </w:pPr>
      <w:r>
        <w:rPr>
          <w:rFonts w:ascii="Arial" w:hAnsi="Arial" w:cs="Arial"/>
          <w:b/>
          <w:bCs/>
          <w:u w:val="single"/>
        </w:rPr>
        <w:t>Acciones a tomar según los valores de ANC</w:t>
      </w:r>
      <w:r w:rsidRPr="00632CEC">
        <w:rPr>
          <w:rFonts w:ascii="Arial" w:hAnsi="Arial" w:cs="Arial"/>
          <w:b/>
          <w:bCs/>
          <w:u w:val="single"/>
        </w:rPr>
        <w:t>:</w:t>
      </w:r>
    </w:p>
    <w:p w14:paraId="4094A2BD" w14:textId="72444FB9" w:rsidR="005216D1" w:rsidRDefault="005216D1" w:rsidP="00174470">
      <w:pPr>
        <w:pStyle w:val="Prrafodelista"/>
        <w:numPr>
          <w:ilvl w:val="0"/>
          <w:numId w:val="23"/>
        </w:numPr>
        <w:autoSpaceDE w:val="0"/>
        <w:autoSpaceDN w:val="0"/>
        <w:adjustRightInd w:val="0"/>
        <w:spacing w:after="0" w:line="240" w:lineRule="auto"/>
        <w:jc w:val="both"/>
        <w:rPr>
          <w:rFonts w:ascii="Arial" w:hAnsi="Arial" w:cs="Arial"/>
        </w:rPr>
      </w:pPr>
      <w:r>
        <w:rPr>
          <w:rFonts w:ascii="Arial" w:hAnsi="Arial" w:cs="Arial"/>
        </w:rPr>
        <w:t>El ANC de los pacientes que experimentan neutropenia leve (1000-1500/mm</w:t>
      </w:r>
      <w:r>
        <w:rPr>
          <w:rFonts w:ascii="Arial" w:hAnsi="Arial" w:cs="Arial"/>
          <w:vertAlign w:val="superscript"/>
        </w:rPr>
        <w:t>3</w:t>
      </w:r>
      <w:r>
        <w:rPr>
          <w:rFonts w:ascii="Arial" w:hAnsi="Arial" w:cs="Arial"/>
        </w:rPr>
        <w:t xml:space="preserve">) durante el tratamiento que posteriormente se estabiliza o se resuelve, debe </w:t>
      </w:r>
      <w:r w:rsidRPr="00174470">
        <w:rPr>
          <w:rFonts w:ascii="Arial" w:hAnsi="Arial" w:cs="Arial"/>
        </w:rPr>
        <w:t>monitorizarse mensualmente durante todo el tratamiento. Para pacientes con BEN confirmada, el umbral es ANC: 500-1000/mm</w:t>
      </w:r>
      <w:r w:rsidRPr="00174470">
        <w:rPr>
          <w:rFonts w:ascii="Arial" w:hAnsi="Arial" w:cs="Arial"/>
          <w:vertAlign w:val="superscript"/>
        </w:rPr>
        <w:t>3</w:t>
      </w:r>
      <w:r w:rsidRPr="00174470">
        <w:rPr>
          <w:rFonts w:ascii="Arial" w:hAnsi="Arial" w:cs="Arial"/>
        </w:rPr>
        <w:t xml:space="preserve"> (0.5-1.0 x 10</w:t>
      </w:r>
      <w:r w:rsidRPr="00174470">
        <w:rPr>
          <w:rFonts w:ascii="Arial" w:hAnsi="Arial" w:cs="Arial"/>
          <w:vertAlign w:val="superscript"/>
        </w:rPr>
        <w:t>9</w:t>
      </w:r>
      <w:r w:rsidRPr="00174470">
        <w:rPr>
          <w:rFonts w:ascii="Arial" w:hAnsi="Arial" w:cs="Arial"/>
        </w:rPr>
        <w:t>/L).</w:t>
      </w:r>
    </w:p>
    <w:p w14:paraId="3A7D3C16" w14:textId="471C2CD4" w:rsidR="00174470" w:rsidRPr="00174470" w:rsidRDefault="00174470" w:rsidP="00174470">
      <w:pPr>
        <w:pStyle w:val="Prrafodelista"/>
        <w:autoSpaceDE w:val="0"/>
        <w:autoSpaceDN w:val="0"/>
        <w:adjustRightInd w:val="0"/>
        <w:spacing w:after="0" w:line="240" w:lineRule="auto"/>
        <w:ind w:left="7092" w:firstLine="696"/>
        <w:jc w:val="both"/>
        <w:rPr>
          <w:rFonts w:ascii="Arial" w:hAnsi="Arial" w:cs="Arial"/>
        </w:rPr>
      </w:pPr>
      <w:r>
        <w:rPr>
          <w:rFonts w:ascii="Arial" w:hAnsi="Arial" w:cs="Arial"/>
        </w:rPr>
        <w:lastRenderedPageBreak/>
        <w:t xml:space="preserve">   </w:t>
      </w:r>
      <w:r w:rsidRPr="00174470">
        <w:rPr>
          <w:rFonts w:ascii="Arial" w:hAnsi="Arial" w:cs="Arial"/>
        </w:rPr>
        <w:t xml:space="preserve">Página </w:t>
      </w:r>
      <w:r>
        <w:rPr>
          <w:rFonts w:ascii="Arial" w:hAnsi="Arial" w:cs="Arial"/>
        </w:rPr>
        <w:t>3</w:t>
      </w:r>
    </w:p>
    <w:p w14:paraId="7176F9D9" w14:textId="7DF86614" w:rsidR="00174470" w:rsidRPr="00174470" w:rsidRDefault="00174470" w:rsidP="00174470">
      <w:pPr>
        <w:pStyle w:val="Prrafodelista"/>
        <w:autoSpaceDE w:val="0"/>
        <w:autoSpaceDN w:val="0"/>
        <w:adjustRightInd w:val="0"/>
        <w:spacing w:after="0" w:line="240" w:lineRule="auto"/>
        <w:jc w:val="both"/>
        <w:rPr>
          <w:rFonts w:ascii="Arial" w:hAnsi="Arial" w:cs="Arial"/>
        </w:rPr>
      </w:pPr>
      <w:r w:rsidRPr="00174470">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14528">
        <w:rPr>
          <w:rFonts w:ascii="Arial" w:hAnsi="Arial" w:cs="Arial"/>
        </w:rPr>
        <w:t xml:space="preserve">    </w:t>
      </w:r>
      <w:r w:rsidRPr="00174470">
        <w:rPr>
          <w:rFonts w:ascii="Arial" w:hAnsi="Arial" w:cs="Arial"/>
        </w:rPr>
        <w:t xml:space="preserve">Nota </w:t>
      </w:r>
      <w:proofErr w:type="spellStart"/>
      <w:r w:rsidRPr="00174470">
        <w:rPr>
          <w:rFonts w:ascii="Arial" w:hAnsi="Arial" w:cs="Arial"/>
        </w:rPr>
        <w:t>N°</w:t>
      </w:r>
      <w:proofErr w:type="spellEnd"/>
      <w:r w:rsidRPr="00174470">
        <w:rPr>
          <w:rFonts w:ascii="Arial" w:hAnsi="Arial" w:cs="Arial"/>
        </w:rPr>
        <w:t xml:space="preserve"> 0</w:t>
      </w:r>
      <w:r w:rsidR="00C14528">
        <w:rPr>
          <w:rFonts w:ascii="Arial" w:hAnsi="Arial" w:cs="Arial"/>
        </w:rPr>
        <w:t>92</w:t>
      </w:r>
      <w:r w:rsidRPr="00174470">
        <w:rPr>
          <w:rFonts w:ascii="Arial" w:hAnsi="Arial" w:cs="Arial"/>
        </w:rPr>
        <w:t>-CNFV-DFV-DNFD-2025</w:t>
      </w:r>
    </w:p>
    <w:p w14:paraId="7F20A4C3" w14:textId="7C5BDC36" w:rsidR="00174470" w:rsidRDefault="00174470" w:rsidP="00174470">
      <w:pPr>
        <w:pStyle w:val="Prrafodelista"/>
        <w:autoSpaceDE w:val="0"/>
        <w:autoSpaceDN w:val="0"/>
        <w:adjustRightInd w:val="0"/>
        <w:spacing w:after="0" w:line="240" w:lineRule="auto"/>
        <w:jc w:val="both"/>
        <w:rPr>
          <w:rFonts w:ascii="Arial" w:hAnsi="Arial" w:cs="Arial"/>
        </w:rPr>
      </w:pPr>
      <w:r w:rsidRPr="00174470">
        <w:rPr>
          <w:rFonts w:ascii="Arial" w:hAnsi="Arial" w:cs="Arial"/>
        </w:rPr>
        <w:tab/>
      </w:r>
      <w:r w:rsidRPr="00174470">
        <w:rPr>
          <w:rFonts w:ascii="Arial" w:hAnsi="Arial" w:cs="Arial"/>
        </w:rPr>
        <w:tab/>
      </w:r>
      <w:r w:rsidRPr="00174470">
        <w:rPr>
          <w:rFonts w:ascii="Arial" w:hAnsi="Arial" w:cs="Arial"/>
        </w:rPr>
        <w:tab/>
      </w:r>
      <w:r w:rsidRPr="00174470">
        <w:rPr>
          <w:rFonts w:ascii="Arial" w:hAnsi="Arial" w:cs="Arial"/>
        </w:rPr>
        <w:tab/>
      </w:r>
      <w:r w:rsidRPr="00174470">
        <w:rPr>
          <w:rFonts w:ascii="Arial" w:hAnsi="Arial" w:cs="Arial"/>
        </w:rPr>
        <w:tab/>
      </w:r>
      <w:r w:rsidRPr="00174470">
        <w:rPr>
          <w:rFonts w:ascii="Arial" w:hAnsi="Arial" w:cs="Arial"/>
        </w:rPr>
        <w:tab/>
        <w:t xml:space="preserve">      Panamá, 26 de septiembre de 2025</w:t>
      </w:r>
    </w:p>
    <w:p w14:paraId="03F76C17" w14:textId="77777777" w:rsidR="00174470" w:rsidRDefault="00174470" w:rsidP="00174470">
      <w:pPr>
        <w:pStyle w:val="Prrafodelista"/>
        <w:autoSpaceDE w:val="0"/>
        <w:autoSpaceDN w:val="0"/>
        <w:adjustRightInd w:val="0"/>
        <w:spacing w:after="0" w:line="240" w:lineRule="auto"/>
        <w:jc w:val="both"/>
        <w:rPr>
          <w:rFonts w:ascii="Arial" w:hAnsi="Arial" w:cs="Arial"/>
        </w:rPr>
      </w:pPr>
    </w:p>
    <w:p w14:paraId="33458602" w14:textId="77777777" w:rsidR="00174470" w:rsidRDefault="00174470" w:rsidP="00174470">
      <w:pPr>
        <w:pStyle w:val="Prrafodelista"/>
        <w:autoSpaceDE w:val="0"/>
        <w:autoSpaceDN w:val="0"/>
        <w:adjustRightInd w:val="0"/>
        <w:spacing w:after="0" w:line="240" w:lineRule="auto"/>
        <w:jc w:val="both"/>
        <w:rPr>
          <w:rFonts w:ascii="Arial" w:hAnsi="Arial" w:cs="Arial"/>
        </w:rPr>
      </w:pPr>
    </w:p>
    <w:p w14:paraId="6FB175D7" w14:textId="77777777" w:rsidR="00174470" w:rsidRPr="00174470" w:rsidRDefault="00174470" w:rsidP="00174470">
      <w:pPr>
        <w:pStyle w:val="Prrafodelista"/>
        <w:autoSpaceDE w:val="0"/>
        <w:autoSpaceDN w:val="0"/>
        <w:adjustRightInd w:val="0"/>
        <w:spacing w:after="0" w:line="240" w:lineRule="auto"/>
        <w:jc w:val="both"/>
        <w:rPr>
          <w:rFonts w:ascii="Arial" w:hAnsi="Arial" w:cs="Arial"/>
        </w:rPr>
      </w:pPr>
    </w:p>
    <w:p w14:paraId="1DB07044" w14:textId="5EA5740F" w:rsidR="005216D1" w:rsidRDefault="005216D1" w:rsidP="005216D1">
      <w:pPr>
        <w:pStyle w:val="Prrafodelista"/>
        <w:numPr>
          <w:ilvl w:val="0"/>
          <w:numId w:val="23"/>
        </w:numPr>
        <w:autoSpaceDE w:val="0"/>
        <w:autoSpaceDN w:val="0"/>
        <w:adjustRightInd w:val="0"/>
        <w:spacing w:after="0" w:line="240" w:lineRule="auto"/>
        <w:jc w:val="both"/>
        <w:rPr>
          <w:rFonts w:ascii="Arial" w:hAnsi="Arial" w:cs="Arial"/>
        </w:rPr>
      </w:pPr>
      <w:r>
        <w:rPr>
          <w:rFonts w:ascii="Arial" w:hAnsi="Arial" w:cs="Arial"/>
        </w:rPr>
        <w:t>Los pacientes con un ANC &lt;1000/mm</w:t>
      </w:r>
      <w:r>
        <w:rPr>
          <w:rFonts w:ascii="Arial" w:hAnsi="Arial" w:cs="Arial"/>
          <w:vertAlign w:val="superscript"/>
        </w:rPr>
        <w:t>3</w:t>
      </w:r>
      <w:r>
        <w:rPr>
          <w:rFonts w:ascii="Arial" w:hAnsi="Arial" w:cs="Arial"/>
        </w:rPr>
        <w:t xml:space="preserve"> (&lt;1.0</w:t>
      </w:r>
      <w:r w:rsidRPr="005216D1">
        <w:rPr>
          <w:rFonts w:ascii="Arial" w:hAnsi="Arial" w:cs="Arial"/>
        </w:rPr>
        <w:t xml:space="preserve"> </w:t>
      </w:r>
      <w:r>
        <w:rPr>
          <w:rFonts w:ascii="Arial" w:hAnsi="Arial" w:cs="Arial"/>
        </w:rPr>
        <w:t>x 10</w:t>
      </w:r>
      <w:r>
        <w:rPr>
          <w:rFonts w:ascii="Arial" w:hAnsi="Arial" w:cs="Arial"/>
          <w:vertAlign w:val="superscript"/>
        </w:rPr>
        <w:t>9</w:t>
      </w:r>
      <w:r>
        <w:rPr>
          <w:rFonts w:ascii="Arial" w:hAnsi="Arial" w:cs="Arial"/>
        </w:rPr>
        <w:t>/L) deben interrumpir el tratamiento inmediatamente y no volver a exponerse. Para pacientes co</w:t>
      </w:r>
      <w:r w:rsidR="00EA2CDE">
        <w:rPr>
          <w:rFonts w:ascii="Arial" w:hAnsi="Arial" w:cs="Arial"/>
        </w:rPr>
        <w:t>n BEN confirmada, el umbral es ANC &lt;500/</w:t>
      </w:r>
      <w:r w:rsidR="00EA2CDE" w:rsidRPr="00EA2CDE">
        <w:rPr>
          <w:rFonts w:ascii="Arial" w:hAnsi="Arial" w:cs="Arial"/>
        </w:rPr>
        <w:t xml:space="preserve"> </w:t>
      </w:r>
      <w:r w:rsidR="00EA2CDE">
        <w:rPr>
          <w:rFonts w:ascii="Arial" w:hAnsi="Arial" w:cs="Arial"/>
        </w:rPr>
        <w:t>mm</w:t>
      </w:r>
      <w:r w:rsidR="00EA2CDE">
        <w:rPr>
          <w:rFonts w:ascii="Arial" w:hAnsi="Arial" w:cs="Arial"/>
          <w:vertAlign w:val="superscript"/>
        </w:rPr>
        <w:t xml:space="preserve">3 </w:t>
      </w:r>
      <w:r w:rsidR="00EA2CDE">
        <w:rPr>
          <w:rFonts w:ascii="Arial" w:hAnsi="Arial" w:cs="Arial"/>
        </w:rPr>
        <w:t>(&lt;0.5</w:t>
      </w:r>
      <w:r w:rsidR="00EA2CDE" w:rsidRPr="005216D1">
        <w:rPr>
          <w:rFonts w:ascii="Arial" w:hAnsi="Arial" w:cs="Arial"/>
        </w:rPr>
        <w:t xml:space="preserve"> </w:t>
      </w:r>
      <w:r w:rsidR="00EA2CDE">
        <w:rPr>
          <w:rFonts w:ascii="Arial" w:hAnsi="Arial" w:cs="Arial"/>
        </w:rPr>
        <w:t>x 10</w:t>
      </w:r>
      <w:r w:rsidR="00EA2CDE">
        <w:rPr>
          <w:rFonts w:ascii="Arial" w:hAnsi="Arial" w:cs="Arial"/>
          <w:vertAlign w:val="superscript"/>
        </w:rPr>
        <w:t>9</w:t>
      </w:r>
      <w:r w:rsidR="00EA2CDE">
        <w:rPr>
          <w:rFonts w:ascii="Arial" w:hAnsi="Arial" w:cs="Arial"/>
        </w:rPr>
        <w:t>/L). Los pacientes deben ser monitorizados semanalmente durante 4 semanas en caso de interrupción completa.</w:t>
      </w:r>
    </w:p>
    <w:p w14:paraId="11DA7CDD" w14:textId="77777777" w:rsidR="005216D1" w:rsidRDefault="005216D1" w:rsidP="008058C1">
      <w:pPr>
        <w:autoSpaceDE w:val="0"/>
        <w:autoSpaceDN w:val="0"/>
        <w:adjustRightInd w:val="0"/>
        <w:spacing w:after="0" w:line="240" w:lineRule="auto"/>
        <w:jc w:val="both"/>
        <w:rPr>
          <w:rFonts w:ascii="Arial" w:hAnsi="Arial" w:cs="Arial"/>
          <w:lang w:val="es-PA"/>
        </w:rPr>
      </w:pPr>
    </w:p>
    <w:p w14:paraId="770BE699" w14:textId="62ECA099" w:rsidR="00EA2CDE" w:rsidRPr="00632CEC" w:rsidRDefault="00EA2CDE" w:rsidP="00EA2CDE">
      <w:pPr>
        <w:autoSpaceDE w:val="0"/>
        <w:autoSpaceDN w:val="0"/>
        <w:adjustRightInd w:val="0"/>
        <w:spacing w:after="0" w:line="240" w:lineRule="auto"/>
        <w:jc w:val="both"/>
        <w:rPr>
          <w:rFonts w:ascii="Arial" w:hAnsi="Arial" w:cs="Arial"/>
          <w:b/>
          <w:bCs/>
          <w:u w:val="single"/>
        </w:rPr>
      </w:pPr>
      <w:r>
        <w:rPr>
          <w:rFonts w:ascii="Arial" w:hAnsi="Arial" w:cs="Arial"/>
          <w:b/>
          <w:bCs/>
          <w:u w:val="single"/>
        </w:rPr>
        <w:t>Recomendaciones para la monitorización del ANC al reanudar la clozapina tras la interrupción del tratamiento por razones no hematológicas</w:t>
      </w:r>
      <w:r w:rsidRPr="00632CEC">
        <w:rPr>
          <w:rFonts w:ascii="Arial" w:hAnsi="Arial" w:cs="Arial"/>
          <w:b/>
          <w:bCs/>
          <w:u w:val="single"/>
        </w:rPr>
        <w:t>:</w:t>
      </w:r>
    </w:p>
    <w:p w14:paraId="1D53FA5E" w14:textId="63E4E6E7" w:rsidR="005216D1" w:rsidRDefault="00EA2CDE" w:rsidP="00EA2CDE">
      <w:pPr>
        <w:pStyle w:val="Prrafodelista"/>
        <w:numPr>
          <w:ilvl w:val="0"/>
          <w:numId w:val="25"/>
        </w:numPr>
        <w:autoSpaceDE w:val="0"/>
        <w:autoSpaceDN w:val="0"/>
        <w:adjustRightInd w:val="0"/>
        <w:spacing w:after="0" w:line="240" w:lineRule="auto"/>
        <w:jc w:val="both"/>
        <w:rPr>
          <w:rFonts w:ascii="Arial" w:hAnsi="Arial" w:cs="Arial"/>
        </w:rPr>
      </w:pPr>
      <w:r>
        <w:rPr>
          <w:rFonts w:ascii="Arial" w:hAnsi="Arial" w:cs="Arial"/>
        </w:rPr>
        <w:t>Los pacientes estables (≥ 2 años de tratamiento) sin neutropenia pueden reanudar su pauta anterior, independientemente de la duración de la interrupción.</w:t>
      </w:r>
    </w:p>
    <w:p w14:paraId="594AC70E" w14:textId="778BA304" w:rsidR="00EA2CDE" w:rsidRDefault="00EA2CDE" w:rsidP="00EA2CDE">
      <w:pPr>
        <w:pStyle w:val="Prrafodelista"/>
        <w:numPr>
          <w:ilvl w:val="0"/>
          <w:numId w:val="25"/>
        </w:numPr>
        <w:autoSpaceDE w:val="0"/>
        <w:autoSpaceDN w:val="0"/>
        <w:adjustRightInd w:val="0"/>
        <w:spacing w:after="0" w:line="240" w:lineRule="auto"/>
        <w:jc w:val="both"/>
        <w:rPr>
          <w:rFonts w:ascii="Arial" w:hAnsi="Arial" w:cs="Arial"/>
        </w:rPr>
      </w:pPr>
      <w:r>
        <w:rPr>
          <w:rFonts w:ascii="Arial" w:hAnsi="Arial" w:cs="Arial"/>
        </w:rPr>
        <w:t>Los pacientes con neutropenia previa o una duración de tratamiento más corta (&gt;18 semanas- 2 años) necesitan una monitorización más estrecha después de interrupciones de 23 días, pero menos de 4 semanas.</w:t>
      </w:r>
    </w:p>
    <w:p w14:paraId="3ADA3CB2" w14:textId="65B72FF5" w:rsidR="00EA2CDE" w:rsidRPr="00EA2CDE" w:rsidRDefault="00EA2CDE" w:rsidP="00EA2CDE">
      <w:pPr>
        <w:pStyle w:val="Prrafodelista"/>
        <w:numPr>
          <w:ilvl w:val="0"/>
          <w:numId w:val="25"/>
        </w:numPr>
        <w:autoSpaceDE w:val="0"/>
        <w:autoSpaceDN w:val="0"/>
        <w:adjustRightInd w:val="0"/>
        <w:spacing w:after="0" w:line="240" w:lineRule="auto"/>
        <w:jc w:val="both"/>
        <w:rPr>
          <w:rFonts w:ascii="Arial" w:hAnsi="Arial" w:cs="Arial"/>
        </w:rPr>
      </w:pPr>
      <w:r>
        <w:rPr>
          <w:rFonts w:ascii="Arial" w:hAnsi="Arial" w:cs="Arial"/>
        </w:rPr>
        <w:t>Los pacientes que interrumpieron el tratamiento durante 24 semanas requieren una monitorización semanal y un nuevo ajuste de la dosis independientemente de la duración previa del tratamiento y la neutropenia leve previa.</w:t>
      </w:r>
    </w:p>
    <w:p w14:paraId="1E65802A" w14:textId="77777777" w:rsidR="00174470" w:rsidRDefault="00174470" w:rsidP="00B060AE">
      <w:pPr>
        <w:autoSpaceDE w:val="0"/>
        <w:autoSpaceDN w:val="0"/>
        <w:adjustRightInd w:val="0"/>
        <w:spacing w:after="0" w:line="240" w:lineRule="auto"/>
        <w:jc w:val="both"/>
        <w:rPr>
          <w:rFonts w:ascii="Arial" w:eastAsia="Times New Roman" w:hAnsi="Arial" w:cs="Arial"/>
          <w:b/>
          <w:u w:val="single"/>
        </w:rPr>
      </w:pPr>
    </w:p>
    <w:p w14:paraId="7E8E958C" w14:textId="3BE013D4" w:rsidR="00B060AE" w:rsidRPr="001B3F4A" w:rsidRDefault="00B060AE" w:rsidP="00B060AE">
      <w:pPr>
        <w:autoSpaceDE w:val="0"/>
        <w:autoSpaceDN w:val="0"/>
        <w:adjustRightInd w:val="0"/>
        <w:spacing w:after="0" w:line="240" w:lineRule="auto"/>
        <w:jc w:val="both"/>
        <w:rPr>
          <w:rFonts w:ascii="Arial" w:eastAsia="Times New Roman" w:hAnsi="Arial" w:cs="Arial"/>
          <w:b/>
          <w:u w:val="single"/>
        </w:rPr>
      </w:pPr>
      <w:r w:rsidRPr="001B3F4A">
        <w:rPr>
          <w:rFonts w:ascii="Arial" w:eastAsia="Times New Roman" w:hAnsi="Arial" w:cs="Arial"/>
          <w:b/>
          <w:u w:val="single"/>
        </w:rPr>
        <w:t>Situación en Panamá</w:t>
      </w:r>
    </w:p>
    <w:p w14:paraId="1A8B3025" w14:textId="77777777" w:rsidR="00C3283A" w:rsidRDefault="00C3283A" w:rsidP="00C3283A">
      <w:pPr>
        <w:autoSpaceDE w:val="0"/>
        <w:autoSpaceDN w:val="0"/>
        <w:adjustRightInd w:val="0"/>
        <w:spacing w:after="0" w:line="240" w:lineRule="auto"/>
        <w:jc w:val="both"/>
        <w:rPr>
          <w:rFonts w:ascii="Arial" w:hAnsi="Arial" w:cs="Arial"/>
          <w:bCs/>
        </w:rPr>
      </w:pPr>
    </w:p>
    <w:p w14:paraId="2C7AED4A" w14:textId="2DC0081D" w:rsidR="00C3283A" w:rsidRDefault="00C3283A" w:rsidP="00174470">
      <w:pPr>
        <w:autoSpaceDE w:val="0"/>
        <w:autoSpaceDN w:val="0"/>
        <w:adjustRightInd w:val="0"/>
        <w:spacing w:after="0" w:line="240" w:lineRule="auto"/>
        <w:jc w:val="both"/>
        <w:rPr>
          <w:rFonts w:ascii="Arial" w:hAnsi="Arial" w:cs="Arial"/>
          <w:bCs/>
        </w:rPr>
      </w:pPr>
      <w:r>
        <w:rPr>
          <w:rFonts w:ascii="Arial" w:hAnsi="Arial" w:cs="Arial"/>
          <w:bCs/>
        </w:rPr>
        <w:t xml:space="preserve">Según la Base de Datos de Registro Sanitario de Medicamentos y Productos Similares de la </w:t>
      </w:r>
      <w:r w:rsidRPr="00C3283A">
        <w:rPr>
          <w:rFonts w:ascii="Arial" w:hAnsi="Arial" w:cs="Arial"/>
          <w:bCs/>
        </w:rPr>
        <w:t xml:space="preserve">Dirección Nacional de Farmacia y Drogas, </w:t>
      </w:r>
      <w:r>
        <w:rPr>
          <w:rFonts w:ascii="Arial" w:hAnsi="Arial" w:cs="Arial"/>
          <w:bCs/>
        </w:rPr>
        <w:t xml:space="preserve">actualmente </w:t>
      </w:r>
      <w:r w:rsidRPr="00C3283A">
        <w:rPr>
          <w:rFonts w:ascii="Arial" w:hAnsi="Arial" w:cs="Arial"/>
          <w:bCs/>
        </w:rPr>
        <w:t xml:space="preserve">se encuentran registrados </w:t>
      </w:r>
      <w:r w:rsidR="00174470">
        <w:rPr>
          <w:rFonts w:ascii="Arial" w:hAnsi="Arial" w:cs="Arial"/>
          <w:bCs/>
        </w:rPr>
        <w:t xml:space="preserve">productos farmacéuticos que contienen como principio activo clozapina. </w:t>
      </w:r>
    </w:p>
    <w:p w14:paraId="61151D0F" w14:textId="77777777" w:rsidR="00A02F21" w:rsidRDefault="00A02F21" w:rsidP="00EA01C4">
      <w:pPr>
        <w:autoSpaceDE w:val="0"/>
        <w:autoSpaceDN w:val="0"/>
        <w:adjustRightInd w:val="0"/>
        <w:spacing w:after="0" w:line="240" w:lineRule="auto"/>
        <w:jc w:val="both"/>
        <w:rPr>
          <w:rFonts w:ascii="Arial" w:hAnsi="Arial" w:cs="Arial"/>
          <w:bCs/>
        </w:rPr>
      </w:pPr>
    </w:p>
    <w:p w14:paraId="22186D9B" w14:textId="6BF8466B" w:rsidR="00A02F21" w:rsidRDefault="00A02F21" w:rsidP="00EA01C4">
      <w:pPr>
        <w:autoSpaceDE w:val="0"/>
        <w:autoSpaceDN w:val="0"/>
        <w:adjustRightInd w:val="0"/>
        <w:spacing w:after="0" w:line="240" w:lineRule="auto"/>
        <w:jc w:val="both"/>
        <w:rPr>
          <w:rFonts w:ascii="Arial" w:hAnsi="Arial" w:cs="Arial"/>
          <w:bCs/>
        </w:rPr>
      </w:pPr>
      <w:r>
        <w:rPr>
          <w:rFonts w:ascii="Arial" w:hAnsi="Arial" w:cs="Arial"/>
          <w:bCs/>
        </w:rPr>
        <w:t xml:space="preserve">A la fecha el Centro Nacional de Farmacovigilancia (CNFV) ha recibido un (1) reporte de sospecha de Reacción Adversa a Medicamentos (RAM) asociada al principio activo clozapina, dicha notificación no está relacionada con el riesgo de neutropenia y agranulocitosis. </w:t>
      </w:r>
    </w:p>
    <w:p w14:paraId="0AC37CCD" w14:textId="77777777" w:rsidR="00A02F21" w:rsidRDefault="00A02F21" w:rsidP="00EA01C4">
      <w:pPr>
        <w:autoSpaceDE w:val="0"/>
        <w:autoSpaceDN w:val="0"/>
        <w:adjustRightInd w:val="0"/>
        <w:spacing w:after="0" w:line="240" w:lineRule="auto"/>
        <w:jc w:val="both"/>
        <w:rPr>
          <w:rFonts w:ascii="Arial" w:hAnsi="Arial" w:cs="Arial"/>
          <w:bCs/>
        </w:rPr>
      </w:pPr>
    </w:p>
    <w:p w14:paraId="0C006864" w14:textId="77777777" w:rsidR="00A02F21" w:rsidRPr="001B3F4A" w:rsidRDefault="00A02F21" w:rsidP="00A02F21">
      <w:pPr>
        <w:spacing w:after="0" w:line="240" w:lineRule="auto"/>
        <w:jc w:val="both"/>
        <w:rPr>
          <w:rFonts w:ascii="Arial" w:hAnsi="Arial" w:cs="Arial"/>
          <w:b/>
          <w:bCs/>
          <w:color w:val="000000"/>
          <w:u w:val="single"/>
          <w:shd w:val="clear" w:color="auto" w:fill="FFFFFF"/>
        </w:rPr>
      </w:pPr>
      <w:r w:rsidRPr="001B3F4A">
        <w:rPr>
          <w:rFonts w:ascii="Arial" w:hAnsi="Arial" w:cs="Arial"/>
          <w:b/>
          <w:bCs/>
          <w:color w:val="000000"/>
          <w:u w:val="single"/>
          <w:shd w:val="clear" w:color="auto" w:fill="FFFFFF"/>
        </w:rPr>
        <w:t>Acciones del Centro Nacional de Farmacovigilancia</w:t>
      </w:r>
    </w:p>
    <w:p w14:paraId="06B176C2" w14:textId="28D80680" w:rsidR="00A02F21" w:rsidRDefault="00A02F21" w:rsidP="00A02F21">
      <w:pPr>
        <w:spacing w:after="0" w:line="240" w:lineRule="auto"/>
        <w:jc w:val="both"/>
        <w:rPr>
          <w:rFonts w:ascii="Arial" w:hAnsi="Arial"/>
          <w:color w:val="000000"/>
        </w:rPr>
      </w:pPr>
      <w:r w:rsidRPr="001B3F4A">
        <w:rPr>
          <w:rFonts w:ascii="Arial" w:hAnsi="Arial"/>
          <w:color w:val="000000"/>
        </w:rPr>
        <w:t xml:space="preserve">El Centro Nacional de Farmacovigilancia ha emitido las siguientes notas de seguridad de medicamento relacionada </w:t>
      </w:r>
      <w:r>
        <w:rPr>
          <w:rFonts w:ascii="Arial" w:hAnsi="Arial"/>
          <w:color w:val="000000"/>
        </w:rPr>
        <w:t>al</w:t>
      </w:r>
      <w:r w:rsidRPr="001B3F4A">
        <w:rPr>
          <w:rFonts w:ascii="Arial" w:hAnsi="Arial"/>
          <w:color w:val="000000"/>
        </w:rPr>
        <w:t xml:space="preserve"> principio activo </w:t>
      </w:r>
      <w:r>
        <w:rPr>
          <w:rFonts w:ascii="Arial" w:hAnsi="Arial"/>
          <w:color w:val="000000"/>
        </w:rPr>
        <w:t>clozapina</w:t>
      </w:r>
      <w:r w:rsidRPr="001B3F4A">
        <w:rPr>
          <w:rFonts w:ascii="Arial" w:hAnsi="Arial"/>
          <w:color w:val="000000"/>
        </w:rPr>
        <w:t>, las mismas se encuentran publicadas en la página web del Ministerio de Salud, procedemos a detallarla las mismas:</w:t>
      </w:r>
    </w:p>
    <w:p w14:paraId="4C52B533" w14:textId="77777777" w:rsidR="00A02F21" w:rsidRDefault="00A02F21" w:rsidP="00A02F21">
      <w:pPr>
        <w:spacing w:after="0" w:line="240" w:lineRule="auto"/>
        <w:jc w:val="both"/>
        <w:rPr>
          <w:rFonts w:ascii="Arial" w:hAnsi="Arial"/>
          <w:color w:val="000000"/>
        </w:rPr>
      </w:pPr>
    </w:p>
    <w:p w14:paraId="6125AD51" w14:textId="54F6E4AD" w:rsidR="00A02F21" w:rsidRPr="001B3F4A" w:rsidRDefault="00A02F21" w:rsidP="00A02F21">
      <w:pPr>
        <w:numPr>
          <w:ilvl w:val="0"/>
          <w:numId w:val="2"/>
        </w:numPr>
        <w:spacing w:after="0" w:line="240" w:lineRule="auto"/>
        <w:ind w:left="578"/>
        <w:contextualSpacing/>
        <w:jc w:val="both"/>
        <w:rPr>
          <w:rFonts w:ascii="Arial" w:hAnsi="Arial" w:cs="Arial"/>
          <w:bCs/>
          <w:sz w:val="20"/>
          <w:szCs w:val="20"/>
        </w:rPr>
      </w:pPr>
      <w:r w:rsidRPr="001B3F4A">
        <w:rPr>
          <w:rFonts w:ascii="Arial" w:hAnsi="Arial" w:cs="Arial"/>
          <w:bCs/>
          <w:sz w:val="20"/>
          <w:szCs w:val="20"/>
        </w:rPr>
        <w:t>Nota de Seguridad de Medicamentos 0</w:t>
      </w:r>
      <w:r>
        <w:rPr>
          <w:rFonts w:ascii="Arial" w:hAnsi="Arial" w:cs="Arial"/>
          <w:bCs/>
          <w:sz w:val="20"/>
          <w:szCs w:val="20"/>
        </w:rPr>
        <w:t>74-25</w:t>
      </w:r>
      <w:r w:rsidRPr="001B3F4A">
        <w:rPr>
          <w:rFonts w:ascii="Arial" w:hAnsi="Arial" w:cs="Arial"/>
          <w:bCs/>
          <w:sz w:val="20"/>
          <w:szCs w:val="20"/>
        </w:rPr>
        <w:t>/CNFV/DFV/DNFD del 1</w:t>
      </w:r>
      <w:r>
        <w:rPr>
          <w:rFonts w:ascii="Arial" w:hAnsi="Arial" w:cs="Arial"/>
          <w:bCs/>
          <w:sz w:val="20"/>
          <w:szCs w:val="20"/>
        </w:rPr>
        <w:t>8</w:t>
      </w:r>
      <w:r w:rsidRPr="001B3F4A">
        <w:rPr>
          <w:rFonts w:ascii="Arial" w:hAnsi="Arial" w:cs="Arial"/>
          <w:bCs/>
          <w:sz w:val="20"/>
          <w:szCs w:val="20"/>
        </w:rPr>
        <w:t xml:space="preserve"> de </w:t>
      </w:r>
      <w:r>
        <w:rPr>
          <w:rFonts w:ascii="Arial" w:hAnsi="Arial" w:cs="Arial"/>
          <w:bCs/>
          <w:sz w:val="20"/>
          <w:szCs w:val="20"/>
        </w:rPr>
        <w:t>julio de 2025</w:t>
      </w:r>
      <w:r w:rsidRPr="001B3F4A">
        <w:rPr>
          <w:rFonts w:ascii="Arial" w:hAnsi="Arial" w:cs="Arial"/>
          <w:bCs/>
          <w:sz w:val="20"/>
          <w:szCs w:val="20"/>
        </w:rPr>
        <w:t>, titulada: “</w:t>
      </w:r>
      <w:r>
        <w:rPr>
          <w:rFonts w:ascii="Arial" w:hAnsi="Arial" w:cs="Arial"/>
          <w:bCs/>
          <w:sz w:val="20"/>
          <w:szCs w:val="20"/>
        </w:rPr>
        <w:t>La Agencia Española de Medicamentos y Otros Productos Sanitarios (AEMPS) informa de la actualización de las recomendaciones de los controles hematológicos en los pacientes tratados con clozapina”</w:t>
      </w:r>
      <w:r w:rsidRPr="001B3F4A">
        <w:rPr>
          <w:rFonts w:ascii="Arial" w:hAnsi="Arial" w:cs="Arial"/>
          <w:bCs/>
          <w:sz w:val="20"/>
          <w:szCs w:val="20"/>
        </w:rPr>
        <w:t>.</w:t>
      </w:r>
    </w:p>
    <w:p w14:paraId="55DB1FC9" w14:textId="23ED3D14" w:rsidR="00A02F21" w:rsidRPr="00A02F21" w:rsidRDefault="00210363" w:rsidP="00A02F21">
      <w:pPr>
        <w:autoSpaceDE w:val="0"/>
        <w:autoSpaceDN w:val="0"/>
        <w:adjustRightInd w:val="0"/>
        <w:spacing w:after="0" w:line="240" w:lineRule="auto"/>
        <w:ind w:firstLine="578"/>
        <w:jc w:val="both"/>
        <w:rPr>
          <w:sz w:val="16"/>
          <w:szCs w:val="16"/>
        </w:rPr>
      </w:pPr>
      <w:hyperlink r:id="rId7" w:history="1">
        <w:r w:rsidR="00A02F21" w:rsidRPr="00A02F21">
          <w:rPr>
            <w:rStyle w:val="Hipervnculo"/>
            <w:sz w:val="16"/>
            <w:szCs w:val="16"/>
          </w:rPr>
          <w:t>https://www.minsa.gob.pa/sites/default/files/alertas/alerta_clozapina-firmada.pdf</w:t>
        </w:r>
      </w:hyperlink>
      <w:r w:rsidR="00A02F21" w:rsidRPr="00A02F21">
        <w:rPr>
          <w:sz w:val="16"/>
          <w:szCs w:val="16"/>
        </w:rPr>
        <w:t xml:space="preserve"> </w:t>
      </w:r>
    </w:p>
    <w:p w14:paraId="6FF2619D" w14:textId="77777777" w:rsidR="00A02F21" w:rsidRDefault="00A02F21" w:rsidP="00A02F21">
      <w:pPr>
        <w:autoSpaceDE w:val="0"/>
        <w:autoSpaceDN w:val="0"/>
        <w:adjustRightInd w:val="0"/>
        <w:spacing w:after="0" w:line="240" w:lineRule="auto"/>
        <w:jc w:val="both"/>
        <w:rPr>
          <w:rFonts w:ascii="Arial" w:hAnsi="Arial" w:cs="Arial"/>
        </w:rPr>
      </w:pPr>
    </w:p>
    <w:p w14:paraId="525F38DC" w14:textId="6D06D455" w:rsidR="00A02F21" w:rsidRPr="001B3F4A" w:rsidRDefault="00A02F21" w:rsidP="00A02F21">
      <w:pPr>
        <w:numPr>
          <w:ilvl w:val="0"/>
          <w:numId w:val="2"/>
        </w:numPr>
        <w:spacing w:after="0" w:line="240" w:lineRule="auto"/>
        <w:ind w:left="578"/>
        <w:contextualSpacing/>
        <w:jc w:val="both"/>
        <w:rPr>
          <w:rFonts w:ascii="Arial" w:hAnsi="Arial" w:cs="Arial"/>
          <w:bCs/>
          <w:sz w:val="20"/>
          <w:szCs w:val="20"/>
        </w:rPr>
      </w:pPr>
      <w:r w:rsidRPr="001B3F4A">
        <w:rPr>
          <w:rFonts w:ascii="Arial" w:hAnsi="Arial" w:cs="Arial"/>
          <w:bCs/>
          <w:sz w:val="20"/>
          <w:szCs w:val="20"/>
        </w:rPr>
        <w:t>Nota de Seguridad de Medicamentos 0</w:t>
      </w:r>
      <w:r>
        <w:rPr>
          <w:rFonts w:ascii="Arial" w:hAnsi="Arial" w:cs="Arial"/>
          <w:bCs/>
          <w:sz w:val="20"/>
          <w:szCs w:val="20"/>
        </w:rPr>
        <w:t>65</w:t>
      </w:r>
      <w:r w:rsidRPr="001B3F4A">
        <w:rPr>
          <w:rFonts w:ascii="Arial" w:hAnsi="Arial" w:cs="Arial"/>
          <w:bCs/>
          <w:sz w:val="20"/>
          <w:szCs w:val="20"/>
        </w:rPr>
        <w:t>/CNFV/DFV/DNFD del 1</w:t>
      </w:r>
      <w:r>
        <w:rPr>
          <w:rFonts w:ascii="Arial" w:hAnsi="Arial" w:cs="Arial"/>
          <w:bCs/>
          <w:sz w:val="20"/>
          <w:szCs w:val="20"/>
        </w:rPr>
        <w:t>3</w:t>
      </w:r>
      <w:r w:rsidRPr="001B3F4A">
        <w:rPr>
          <w:rFonts w:ascii="Arial" w:hAnsi="Arial" w:cs="Arial"/>
          <w:bCs/>
          <w:sz w:val="20"/>
          <w:szCs w:val="20"/>
        </w:rPr>
        <w:t xml:space="preserve"> de </w:t>
      </w:r>
      <w:r>
        <w:rPr>
          <w:rFonts w:ascii="Arial" w:hAnsi="Arial" w:cs="Arial"/>
          <w:bCs/>
          <w:sz w:val="20"/>
          <w:szCs w:val="20"/>
        </w:rPr>
        <w:t>noviembre de 2020</w:t>
      </w:r>
      <w:r w:rsidRPr="001B3F4A">
        <w:rPr>
          <w:rFonts w:ascii="Arial" w:hAnsi="Arial" w:cs="Arial"/>
          <w:bCs/>
          <w:sz w:val="20"/>
          <w:szCs w:val="20"/>
        </w:rPr>
        <w:t>, titulada: “</w:t>
      </w:r>
      <w:r>
        <w:rPr>
          <w:rFonts w:ascii="Arial" w:hAnsi="Arial" w:cs="Arial"/>
          <w:bCs/>
          <w:sz w:val="20"/>
          <w:szCs w:val="20"/>
        </w:rPr>
        <w:t>Clozapina y otros antipsicóticos: Control de las concentraciones en sangre para detectar toxicidad</w:t>
      </w:r>
      <w:r w:rsidRPr="001B3F4A">
        <w:rPr>
          <w:rFonts w:ascii="Arial" w:hAnsi="Arial" w:cs="Arial"/>
          <w:bCs/>
          <w:sz w:val="20"/>
          <w:szCs w:val="20"/>
        </w:rPr>
        <w:t>”.</w:t>
      </w:r>
    </w:p>
    <w:p w14:paraId="0BEF6CFC" w14:textId="7C4ED509" w:rsidR="00A02F21" w:rsidRPr="00A02F21" w:rsidRDefault="00210363" w:rsidP="00A02F21">
      <w:pPr>
        <w:autoSpaceDE w:val="0"/>
        <w:autoSpaceDN w:val="0"/>
        <w:adjustRightInd w:val="0"/>
        <w:spacing w:after="0" w:line="240" w:lineRule="auto"/>
        <w:ind w:firstLine="578"/>
        <w:jc w:val="both"/>
        <w:rPr>
          <w:rFonts w:ascii="Arial" w:hAnsi="Arial" w:cs="Arial"/>
          <w:sz w:val="16"/>
          <w:szCs w:val="16"/>
        </w:rPr>
      </w:pPr>
      <w:hyperlink r:id="rId8" w:history="1">
        <w:r w:rsidR="00A02F21" w:rsidRPr="00A02F21">
          <w:rPr>
            <w:rStyle w:val="Hipervnculo"/>
            <w:rFonts w:ascii="Arial" w:hAnsi="Arial" w:cs="Arial"/>
            <w:sz w:val="16"/>
            <w:szCs w:val="16"/>
          </w:rPr>
          <w:t>https://www.minsa.gob.pa/sites/default/files/alertas/065-20_nota_de_seguridad_sobre_clozapina.pdf</w:t>
        </w:r>
      </w:hyperlink>
      <w:r w:rsidR="00A02F21" w:rsidRPr="00A02F21">
        <w:rPr>
          <w:rFonts w:ascii="Arial" w:hAnsi="Arial" w:cs="Arial"/>
          <w:sz w:val="16"/>
          <w:szCs w:val="16"/>
        </w:rPr>
        <w:t xml:space="preserve"> </w:t>
      </w:r>
    </w:p>
    <w:p w14:paraId="7AFC10F6" w14:textId="77777777" w:rsidR="00C3283A" w:rsidRDefault="00C3283A" w:rsidP="00EA01C4">
      <w:pPr>
        <w:autoSpaceDE w:val="0"/>
        <w:autoSpaceDN w:val="0"/>
        <w:adjustRightInd w:val="0"/>
        <w:spacing w:after="0" w:line="240" w:lineRule="auto"/>
        <w:jc w:val="both"/>
        <w:rPr>
          <w:rFonts w:ascii="Arial" w:hAnsi="Arial" w:cs="Arial"/>
          <w:bCs/>
        </w:rPr>
      </w:pPr>
    </w:p>
    <w:p w14:paraId="6C98F78F" w14:textId="25A8D690" w:rsidR="00A02F21" w:rsidRPr="001B3F4A" w:rsidRDefault="00A02F21" w:rsidP="00A02F21">
      <w:pPr>
        <w:numPr>
          <w:ilvl w:val="0"/>
          <w:numId w:val="2"/>
        </w:numPr>
        <w:spacing w:after="0" w:line="240" w:lineRule="auto"/>
        <w:ind w:left="578"/>
        <w:contextualSpacing/>
        <w:jc w:val="both"/>
        <w:rPr>
          <w:rFonts w:ascii="Arial" w:hAnsi="Arial" w:cs="Arial"/>
          <w:bCs/>
          <w:sz w:val="20"/>
          <w:szCs w:val="20"/>
        </w:rPr>
      </w:pPr>
      <w:r w:rsidRPr="001B3F4A">
        <w:rPr>
          <w:rFonts w:ascii="Arial" w:hAnsi="Arial" w:cs="Arial"/>
          <w:bCs/>
          <w:sz w:val="20"/>
          <w:szCs w:val="20"/>
        </w:rPr>
        <w:t>Nota de Seguridad de Medicamentos 0</w:t>
      </w:r>
      <w:r>
        <w:rPr>
          <w:rFonts w:ascii="Arial" w:hAnsi="Arial" w:cs="Arial"/>
          <w:bCs/>
          <w:sz w:val="20"/>
          <w:szCs w:val="20"/>
        </w:rPr>
        <w:t>039-20</w:t>
      </w:r>
      <w:r w:rsidRPr="001B3F4A">
        <w:rPr>
          <w:rFonts w:ascii="Arial" w:hAnsi="Arial" w:cs="Arial"/>
          <w:bCs/>
          <w:sz w:val="20"/>
          <w:szCs w:val="20"/>
        </w:rPr>
        <w:t xml:space="preserve">/CNFV/DFV/DNFD del </w:t>
      </w:r>
      <w:r>
        <w:rPr>
          <w:rFonts w:ascii="Arial" w:hAnsi="Arial" w:cs="Arial"/>
          <w:bCs/>
          <w:sz w:val="20"/>
          <w:szCs w:val="20"/>
        </w:rPr>
        <w:t>31</w:t>
      </w:r>
      <w:r w:rsidRPr="001B3F4A">
        <w:rPr>
          <w:rFonts w:ascii="Arial" w:hAnsi="Arial" w:cs="Arial"/>
          <w:bCs/>
          <w:sz w:val="20"/>
          <w:szCs w:val="20"/>
        </w:rPr>
        <w:t xml:space="preserve"> de </w:t>
      </w:r>
      <w:r>
        <w:rPr>
          <w:rFonts w:ascii="Arial" w:hAnsi="Arial" w:cs="Arial"/>
          <w:bCs/>
          <w:sz w:val="20"/>
          <w:szCs w:val="20"/>
        </w:rPr>
        <w:t>agosto de 2020</w:t>
      </w:r>
      <w:r w:rsidRPr="001B3F4A">
        <w:rPr>
          <w:rFonts w:ascii="Arial" w:hAnsi="Arial" w:cs="Arial"/>
          <w:bCs/>
          <w:sz w:val="20"/>
          <w:szCs w:val="20"/>
        </w:rPr>
        <w:t>, titulada: “</w:t>
      </w:r>
      <w:r>
        <w:rPr>
          <w:rFonts w:ascii="Arial" w:hAnsi="Arial" w:cs="Arial"/>
          <w:bCs/>
          <w:sz w:val="20"/>
          <w:szCs w:val="20"/>
        </w:rPr>
        <w:t>FDA refuerza la advertencia que el estreñimiento no tratado y causado por clozapina puede provocar graves problemas gastrointestinales</w:t>
      </w:r>
      <w:r w:rsidRPr="001B3F4A">
        <w:rPr>
          <w:rFonts w:ascii="Arial" w:hAnsi="Arial" w:cs="Arial"/>
          <w:bCs/>
          <w:sz w:val="20"/>
          <w:szCs w:val="20"/>
        </w:rPr>
        <w:t>”.</w:t>
      </w:r>
    </w:p>
    <w:p w14:paraId="757A36E5" w14:textId="6680A4D4" w:rsidR="00A02F21" w:rsidRPr="00A02F21" w:rsidRDefault="00210363" w:rsidP="00A02F21">
      <w:pPr>
        <w:autoSpaceDE w:val="0"/>
        <w:autoSpaceDN w:val="0"/>
        <w:adjustRightInd w:val="0"/>
        <w:spacing w:after="0" w:line="240" w:lineRule="auto"/>
        <w:ind w:firstLine="578"/>
        <w:jc w:val="both"/>
        <w:rPr>
          <w:rFonts w:ascii="Arial" w:hAnsi="Arial" w:cs="Arial"/>
          <w:bCs/>
        </w:rPr>
      </w:pPr>
      <w:hyperlink r:id="rId9" w:history="1">
        <w:r w:rsidR="00A02F21" w:rsidRPr="00214733">
          <w:rPr>
            <w:rStyle w:val="Hipervnculo"/>
            <w:rFonts w:ascii="Arial" w:hAnsi="Arial" w:cs="Arial"/>
            <w:sz w:val="16"/>
            <w:szCs w:val="16"/>
          </w:rPr>
          <w:t>https://www.minsa.gob.pa/sites/default/files/alertas/nota_039-20_clozapina.pdf</w:t>
        </w:r>
      </w:hyperlink>
      <w:r w:rsidR="00A02F21">
        <w:rPr>
          <w:rFonts w:ascii="Arial" w:hAnsi="Arial" w:cs="Arial"/>
          <w:sz w:val="16"/>
          <w:szCs w:val="16"/>
        </w:rPr>
        <w:t xml:space="preserve"> </w:t>
      </w:r>
    </w:p>
    <w:p w14:paraId="4BAA1A07" w14:textId="77777777" w:rsidR="00C94BC4" w:rsidRDefault="00C94BC4" w:rsidP="00EA01C4">
      <w:pPr>
        <w:autoSpaceDE w:val="0"/>
        <w:autoSpaceDN w:val="0"/>
        <w:adjustRightInd w:val="0"/>
        <w:spacing w:after="0" w:line="240" w:lineRule="auto"/>
        <w:jc w:val="both"/>
        <w:rPr>
          <w:rFonts w:ascii="Arial" w:hAnsi="Arial" w:cs="Arial"/>
          <w:bCs/>
        </w:rPr>
      </w:pPr>
    </w:p>
    <w:p w14:paraId="1FC33999" w14:textId="106014ED" w:rsidR="00A02F21" w:rsidRPr="001B3F4A" w:rsidRDefault="00A02F21" w:rsidP="00A02F21">
      <w:pPr>
        <w:numPr>
          <w:ilvl w:val="0"/>
          <w:numId w:val="2"/>
        </w:numPr>
        <w:spacing w:after="0" w:line="240" w:lineRule="auto"/>
        <w:ind w:left="578"/>
        <w:contextualSpacing/>
        <w:jc w:val="both"/>
        <w:rPr>
          <w:rFonts w:ascii="Arial" w:hAnsi="Arial" w:cs="Arial"/>
          <w:bCs/>
          <w:sz w:val="20"/>
          <w:szCs w:val="20"/>
        </w:rPr>
      </w:pPr>
      <w:r w:rsidRPr="001B3F4A">
        <w:rPr>
          <w:rFonts w:ascii="Arial" w:hAnsi="Arial" w:cs="Arial"/>
          <w:bCs/>
          <w:sz w:val="20"/>
          <w:szCs w:val="20"/>
        </w:rPr>
        <w:t>Nota de Seguridad de Medicamentos 0</w:t>
      </w:r>
      <w:r>
        <w:rPr>
          <w:rFonts w:ascii="Arial" w:hAnsi="Arial" w:cs="Arial"/>
          <w:bCs/>
          <w:sz w:val="20"/>
          <w:szCs w:val="20"/>
        </w:rPr>
        <w:t>32-20</w:t>
      </w:r>
      <w:r w:rsidRPr="001B3F4A">
        <w:rPr>
          <w:rFonts w:ascii="Arial" w:hAnsi="Arial" w:cs="Arial"/>
          <w:bCs/>
          <w:sz w:val="20"/>
          <w:szCs w:val="20"/>
        </w:rPr>
        <w:t xml:space="preserve">/CNFV/DFV/DNFD del </w:t>
      </w:r>
      <w:r>
        <w:rPr>
          <w:rFonts w:ascii="Arial" w:hAnsi="Arial" w:cs="Arial"/>
          <w:bCs/>
          <w:sz w:val="20"/>
          <w:szCs w:val="20"/>
        </w:rPr>
        <w:t>7</w:t>
      </w:r>
      <w:r w:rsidRPr="001B3F4A">
        <w:rPr>
          <w:rFonts w:ascii="Arial" w:hAnsi="Arial" w:cs="Arial"/>
          <w:bCs/>
          <w:sz w:val="20"/>
          <w:szCs w:val="20"/>
        </w:rPr>
        <w:t xml:space="preserve"> de </w:t>
      </w:r>
      <w:r>
        <w:rPr>
          <w:rFonts w:ascii="Arial" w:hAnsi="Arial" w:cs="Arial"/>
          <w:bCs/>
          <w:sz w:val="20"/>
          <w:szCs w:val="20"/>
        </w:rPr>
        <w:t>julio de 2020</w:t>
      </w:r>
      <w:r w:rsidRPr="001B3F4A">
        <w:rPr>
          <w:rFonts w:ascii="Arial" w:hAnsi="Arial" w:cs="Arial"/>
          <w:bCs/>
          <w:sz w:val="20"/>
          <w:szCs w:val="20"/>
        </w:rPr>
        <w:t>, titulada: “</w:t>
      </w:r>
      <w:r>
        <w:rPr>
          <w:rFonts w:ascii="Arial" w:hAnsi="Arial" w:cs="Arial"/>
          <w:bCs/>
          <w:sz w:val="20"/>
          <w:szCs w:val="20"/>
        </w:rPr>
        <w:t>Se reitera la advertencia que el estreñimiento causado por la clozapina puede conducir a problemas intestinales graves si no es tratado</w:t>
      </w:r>
      <w:r w:rsidRPr="001B3F4A">
        <w:rPr>
          <w:rFonts w:ascii="Arial" w:hAnsi="Arial" w:cs="Arial"/>
          <w:bCs/>
          <w:sz w:val="20"/>
          <w:szCs w:val="20"/>
        </w:rPr>
        <w:t>”.</w:t>
      </w:r>
    </w:p>
    <w:p w14:paraId="2255030F" w14:textId="733A4D94" w:rsidR="00A02F21" w:rsidRDefault="00210363" w:rsidP="00A02F21">
      <w:pPr>
        <w:autoSpaceDE w:val="0"/>
        <w:autoSpaceDN w:val="0"/>
        <w:adjustRightInd w:val="0"/>
        <w:spacing w:after="0" w:line="240" w:lineRule="auto"/>
        <w:ind w:firstLine="578"/>
        <w:jc w:val="both"/>
        <w:rPr>
          <w:rFonts w:ascii="Arial" w:hAnsi="Arial" w:cs="Arial"/>
          <w:bCs/>
        </w:rPr>
      </w:pPr>
      <w:hyperlink r:id="rId10" w:history="1">
        <w:r w:rsidR="00A02F21" w:rsidRPr="00214733">
          <w:rPr>
            <w:rStyle w:val="Hipervnculo"/>
            <w:rFonts w:ascii="Arial" w:hAnsi="Arial" w:cs="Arial"/>
            <w:sz w:val="16"/>
            <w:szCs w:val="16"/>
          </w:rPr>
          <w:t>https://www.minsa.gob.pa/sites/default/files/alertas/nota_032-20_clozapina.pdf</w:t>
        </w:r>
      </w:hyperlink>
      <w:r w:rsidR="00A02F21">
        <w:rPr>
          <w:rFonts w:ascii="Arial" w:hAnsi="Arial" w:cs="Arial"/>
          <w:sz w:val="16"/>
          <w:szCs w:val="16"/>
        </w:rPr>
        <w:t xml:space="preserve"> </w:t>
      </w:r>
    </w:p>
    <w:p w14:paraId="5DE02E38" w14:textId="77777777" w:rsidR="00C3283A" w:rsidRDefault="00C3283A" w:rsidP="00EA01C4">
      <w:pPr>
        <w:autoSpaceDE w:val="0"/>
        <w:autoSpaceDN w:val="0"/>
        <w:adjustRightInd w:val="0"/>
        <w:spacing w:after="0" w:line="240" w:lineRule="auto"/>
        <w:jc w:val="both"/>
        <w:rPr>
          <w:rFonts w:ascii="Arial" w:hAnsi="Arial" w:cs="Arial"/>
          <w:bCs/>
        </w:rPr>
      </w:pPr>
    </w:p>
    <w:p w14:paraId="24108296" w14:textId="0F7A260F" w:rsidR="00A02F21" w:rsidRPr="001B3F4A" w:rsidRDefault="00A02F21" w:rsidP="00A02F21">
      <w:pPr>
        <w:numPr>
          <w:ilvl w:val="0"/>
          <w:numId w:val="2"/>
        </w:numPr>
        <w:spacing w:after="0" w:line="240" w:lineRule="auto"/>
        <w:ind w:left="578"/>
        <w:contextualSpacing/>
        <w:jc w:val="both"/>
        <w:rPr>
          <w:rFonts w:ascii="Arial" w:hAnsi="Arial" w:cs="Arial"/>
          <w:bCs/>
          <w:sz w:val="20"/>
          <w:szCs w:val="20"/>
        </w:rPr>
      </w:pPr>
      <w:r w:rsidRPr="001B3F4A">
        <w:rPr>
          <w:rFonts w:ascii="Arial" w:hAnsi="Arial" w:cs="Arial"/>
          <w:bCs/>
          <w:sz w:val="20"/>
          <w:szCs w:val="20"/>
        </w:rPr>
        <w:t>Nota de Seguridad de Medicamentos 0</w:t>
      </w:r>
      <w:r>
        <w:rPr>
          <w:rFonts w:ascii="Arial" w:hAnsi="Arial" w:cs="Arial"/>
          <w:bCs/>
          <w:sz w:val="20"/>
          <w:szCs w:val="20"/>
        </w:rPr>
        <w:t>25</w:t>
      </w:r>
      <w:r w:rsidRPr="001B3F4A">
        <w:rPr>
          <w:rFonts w:ascii="Arial" w:hAnsi="Arial" w:cs="Arial"/>
          <w:bCs/>
          <w:sz w:val="20"/>
          <w:szCs w:val="20"/>
        </w:rPr>
        <w:t xml:space="preserve">/CNFV/DFV/DNFD del </w:t>
      </w:r>
      <w:r>
        <w:rPr>
          <w:rFonts w:ascii="Arial" w:hAnsi="Arial" w:cs="Arial"/>
          <w:bCs/>
          <w:sz w:val="20"/>
          <w:szCs w:val="20"/>
        </w:rPr>
        <w:t>18</w:t>
      </w:r>
      <w:r w:rsidRPr="001B3F4A">
        <w:rPr>
          <w:rFonts w:ascii="Arial" w:hAnsi="Arial" w:cs="Arial"/>
          <w:bCs/>
          <w:sz w:val="20"/>
          <w:szCs w:val="20"/>
        </w:rPr>
        <w:t xml:space="preserve"> de </w:t>
      </w:r>
      <w:r>
        <w:rPr>
          <w:rFonts w:ascii="Arial" w:hAnsi="Arial" w:cs="Arial"/>
          <w:bCs/>
          <w:sz w:val="20"/>
          <w:szCs w:val="20"/>
        </w:rPr>
        <w:t>mayo de 2018</w:t>
      </w:r>
      <w:r w:rsidRPr="001B3F4A">
        <w:rPr>
          <w:rFonts w:ascii="Arial" w:hAnsi="Arial" w:cs="Arial"/>
          <w:bCs/>
          <w:sz w:val="20"/>
          <w:szCs w:val="20"/>
        </w:rPr>
        <w:t>, titulada: “</w:t>
      </w:r>
      <w:r>
        <w:rPr>
          <w:rFonts w:ascii="Arial" w:hAnsi="Arial" w:cs="Arial"/>
          <w:bCs/>
          <w:sz w:val="20"/>
          <w:szCs w:val="20"/>
        </w:rPr>
        <w:t>Evaluación de la efectividad del monitoreo para un bajo número de glóbulos blancos asociados a la clozapina</w:t>
      </w:r>
      <w:r w:rsidRPr="001B3F4A">
        <w:rPr>
          <w:rFonts w:ascii="Arial" w:hAnsi="Arial" w:cs="Arial"/>
          <w:bCs/>
          <w:sz w:val="20"/>
          <w:szCs w:val="20"/>
        </w:rPr>
        <w:t>”.</w:t>
      </w:r>
    </w:p>
    <w:p w14:paraId="553EA142" w14:textId="2F978719" w:rsidR="00A02F21" w:rsidRDefault="00210363" w:rsidP="00A02F21">
      <w:pPr>
        <w:autoSpaceDE w:val="0"/>
        <w:autoSpaceDN w:val="0"/>
        <w:adjustRightInd w:val="0"/>
        <w:spacing w:after="0" w:line="240" w:lineRule="auto"/>
        <w:ind w:firstLine="578"/>
        <w:jc w:val="both"/>
        <w:rPr>
          <w:rFonts w:ascii="Arial" w:hAnsi="Arial" w:cs="Arial"/>
          <w:bCs/>
        </w:rPr>
      </w:pPr>
      <w:hyperlink r:id="rId11" w:history="1">
        <w:r w:rsidR="00A02F21" w:rsidRPr="00214733">
          <w:rPr>
            <w:rStyle w:val="Hipervnculo"/>
            <w:rFonts w:ascii="Arial" w:hAnsi="Arial" w:cs="Arial"/>
            <w:sz w:val="16"/>
            <w:szCs w:val="16"/>
          </w:rPr>
          <w:t>https://www.minsa.gob.pa/sites/default/files/alertas/alerta_025.pdf</w:t>
        </w:r>
      </w:hyperlink>
      <w:r w:rsidR="00A02F21">
        <w:rPr>
          <w:rFonts w:ascii="Arial" w:hAnsi="Arial" w:cs="Arial"/>
          <w:sz w:val="16"/>
          <w:szCs w:val="16"/>
        </w:rPr>
        <w:t xml:space="preserve"> </w:t>
      </w:r>
    </w:p>
    <w:p w14:paraId="1BF39C32" w14:textId="77777777" w:rsidR="00A02F21" w:rsidRDefault="00A02F21" w:rsidP="00EA01C4">
      <w:pPr>
        <w:autoSpaceDE w:val="0"/>
        <w:autoSpaceDN w:val="0"/>
        <w:adjustRightInd w:val="0"/>
        <w:spacing w:after="0" w:line="240" w:lineRule="auto"/>
        <w:jc w:val="both"/>
        <w:rPr>
          <w:rFonts w:ascii="Arial" w:hAnsi="Arial" w:cs="Arial"/>
          <w:bCs/>
        </w:rPr>
      </w:pPr>
    </w:p>
    <w:p w14:paraId="2C1C263F" w14:textId="1847CF80" w:rsidR="00A02F21" w:rsidRPr="001B3F4A" w:rsidRDefault="00A02F21" w:rsidP="00A02F21">
      <w:pPr>
        <w:numPr>
          <w:ilvl w:val="0"/>
          <w:numId w:val="2"/>
        </w:numPr>
        <w:spacing w:after="0" w:line="240" w:lineRule="auto"/>
        <w:ind w:left="578"/>
        <w:contextualSpacing/>
        <w:jc w:val="both"/>
        <w:rPr>
          <w:rFonts w:ascii="Arial" w:hAnsi="Arial" w:cs="Arial"/>
          <w:bCs/>
          <w:sz w:val="20"/>
          <w:szCs w:val="20"/>
        </w:rPr>
      </w:pPr>
      <w:r w:rsidRPr="001B3F4A">
        <w:rPr>
          <w:rFonts w:ascii="Arial" w:hAnsi="Arial" w:cs="Arial"/>
          <w:bCs/>
          <w:sz w:val="20"/>
          <w:szCs w:val="20"/>
        </w:rPr>
        <w:t xml:space="preserve">Nota de Seguridad de Medicamentos </w:t>
      </w:r>
      <w:r>
        <w:rPr>
          <w:rFonts w:ascii="Arial" w:hAnsi="Arial" w:cs="Arial"/>
          <w:bCs/>
          <w:sz w:val="20"/>
          <w:szCs w:val="20"/>
        </w:rPr>
        <w:t>002</w:t>
      </w:r>
      <w:r w:rsidRPr="001B3F4A">
        <w:rPr>
          <w:rFonts w:ascii="Arial" w:hAnsi="Arial" w:cs="Arial"/>
          <w:bCs/>
          <w:sz w:val="20"/>
          <w:szCs w:val="20"/>
        </w:rPr>
        <w:t xml:space="preserve">/CNFV/DFV/DNFD del </w:t>
      </w:r>
      <w:r>
        <w:rPr>
          <w:rFonts w:ascii="Arial" w:hAnsi="Arial" w:cs="Arial"/>
          <w:bCs/>
          <w:sz w:val="20"/>
          <w:szCs w:val="20"/>
        </w:rPr>
        <w:t xml:space="preserve">8 </w:t>
      </w:r>
      <w:r w:rsidRPr="001B3F4A">
        <w:rPr>
          <w:rFonts w:ascii="Arial" w:hAnsi="Arial" w:cs="Arial"/>
          <w:bCs/>
          <w:sz w:val="20"/>
          <w:szCs w:val="20"/>
        </w:rPr>
        <w:t>de</w:t>
      </w:r>
      <w:r>
        <w:rPr>
          <w:rFonts w:ascii="Arial" w:hAnsi="Arial" w:cs="Arial"/>
          <w:bCs/>
          <w:sz w:val="20"/>
          <w:szCs w:val="20"/>
        </w:rPr>
        <w:t xml:space="preserve"> enero de 2018</w:t>
      </w:r>
      <w:r w:rsidRPr="001B3F4A">
        <w:rPr>
          <w:rFonts w:ascii="Arial" w:hAnsi="Arial" w:cs="Arial"/>
          <w:bCs/>
          <w:sz w:val="20"/>
          <w:szCs w:val="20"/>
        </w:rPr>
        <w:t>, titulada: “</w:t>
      </w:r>
      <w:r>
        <w:rPr>
          <w:rFonts w:ascii="Arial" w:hAnsi="Arial" w:cs="Arial"/>
          <w:bCs/>
          <w:sz w:val="20"/>
          <w:szCs w:val="20"/>
        </w:rPr>
        <w:t>La Autoridad Reguladora de Medicamentos en España reduce ciertos requisitos para el programa de monitorización de pacientes con clozapina</w:t>
      </w:r>
      <w:r w:rsidRPr="001B3F4A">
        <w:rPr>
          <w:rFonts w:ascii="Arial" w:hAnsi="Arial" w:cs="Arial"/>
          <w:bCs/>
          <w:sz w:val="20"/>
          <w:szCs w:val="20"/>
        </w:rPr>
        <w:t>”.</w:t>
      </w:r>
    </w:p>
    <w:p w14:paraId="6EA7C569" w14:textId="4017519F" w:rsidR="00A02F21" w:rsidRDefault="00210363" w:rsidP="00A02F21">
      <w:pPr>
        <w:autoSpaceDE w:val="0"/>
        <w:autoSpaceDN w:val="0"/>
        <w:adjustRightInd w:val="0"/>
        <w:spacing w:after="0" w:line="240" w:lineRule="auto"/>
        <w:ind w:firstLine="578"/>
        <w:jc w:val="both"/>
        <w:rPr>
          <w:rFonts w:ascii="Arial" w:hAnsi="Arial" w:cs="Arial"/>
          <w:sz w:val="16"/>
          <w:szCs w:val="16"/>
        </w:rPr>
      </w:pPr>
      <w:hyperlink r:id="rId12" w:history="1">
        <w:r w:rsidR="00A02F21" w:rsidRPr="00214733">
          <w:rPr>
            <w:rStyle w:val="Hipervnculo"/>
            <w:rFonts w:ascii="Arial" w:hAnsi="Arial" w:cs="Arial"/>
            <w:sz w:val="16"/>
            <w:szCs w:val="16"/>
          </w:rPr>
          <w:t>https://www.minsa.gob.pa/sites/default/files/alertas/alerta_0002.pdf</w:t>
        </w:r>
      </w:hyperlink>
      <w:r w:rsidR="00A02F21">
        <w:rPr>
          <w:rFonts w:ascii="Arial" w:hAnsi="Arial" w:cs="Arial"/>
          <w:sz w:val="16"/>
          <w:szCs w:val="16"/>
        </w:rPr>
        <w:t xml:space="preserve">  </w:t>
      </w:r>
    </w:p>
    <w:p w14:paraId="4E5BAA85" w14:textId="77777777" w:rsidR="00A02F21" w:rsidRDefault="00A02F21" w:rsidP="00A02F21">
      <w:pPr>
        <w:autoSpaceDE w:val="0"/>
        <w:autoSpaceDN w:val="0"/>
        <w:adjustRightInd w:val="0"/>
        <w:spacing w:after="0" w:line="240" w:lineRule="auto"/>
        <w:ind w:firstLine="578"/>
        <w:jc w:val="both"/>
        <w:rPr>
          <w:rFonts w:ascii="Arial" w:hAnsi="Arial" w:cs="Arial"/>
          <w:sz w:val="16"/>
          <w:szCs w:val="16"/>
        </w:rPr>
      </w:pPr>
    </w:p>
    <w:p w14:paraId="0CD3DB21" w14:textId="77777777" w:rsidR="00A02F21" w:rsidRDefault="00A02F21" w:rsidP="00EA01C4">
      <w:pPr>
        <w:autoSpaceDE w:val="0"/>
        <w:autoSpaceDN w:val="0"/>
        <w:adjustRightInd w:val="0"/>
        <w:spacing w:after="0" w:line="240" w:lineRule="auto"/>
        <w:jc w:val="both"/>
        <w:rPr>
          <w:rFonts w:ascii="Arial" w:hAnsi="Arial" w:cs="Arial"/>
          <w:bCs/>
        </w:rPr>
      </w:pPr>
    </w:p>
    <w:p w14:paraId="6882EFC7" w14:textId="74F44D25" w:rsidR="00A02F21" w:rsidRPr="00174470" w:rsidRDefault="00A02F21" w:rsidP="00A02F21">
      <w:pPr>
        <w:pStyle w:val="Prrafodelista"/>
        <w:autoSpaceDE w:val="0"/>
        <w:autoSpaceDN w:val="0"/>
        <w:adjustRightInd w:val="0"/>
        <w:spacing w:after="0" w:line="240" w:lineRule="auto"/>
        <w:ind w:left="7092" w:firstLine="696"/>
        <w:jc w:val="both"/>
        <w:rPr>
          <w:rFonts w:ascii="Arial" w:hAnsi="Arial" w:cs="Arial"/>
        </w:rPr>
      </w:pPr>
      <w:r>
        <w:rPr>
          <w:rFonts w:ascii="Arial" w:hAnsi="Arial" w:cs="Arial"/>
        </w:rPr>
        <w:lastRenderedPageBreak/>
        <w:t xml:space="preserve">  </w:t>
      </w:r>
      <w:r w:rsidRPr="00174470">
        <w:rPr>
          <w:rFonts w:ascii="Arial" w:hAnsi="Arial" w:cs="Arial"/>
        </w:rPr>
        <w:t xml:space="preserve">Página </w:t>
      </w:r>
      <w:r>
        <w:rPr>
          <w:rFonts w:ascii="Arial" w:hAnsi="Arial" w:cs="Arial"/>
        </w:rPr>
        <w:t>4</w:t>
      </w:r>
    </w:p>
    <w:p w14:paraId="0235855B" w14:textId="57B67890" w:rsidR="00A02F21" w:rsidRPr="00174470" w:rsidRDefault="00A02F21" w:rsidP="00A02F21">
      <w:pPr>
        <w:pStyle w:val="Prrafodelista"/>
        <w:autoSpaceDE w:val="0"/>
        <w:autoSpaceDN w:val="0"/>
        <w:adjustRightInd w:val="0"/>
        <w:spacing w:after="0" w:line="240" w:lineRule="auto"/>
        <w:jc w:val="both"/>
        <w:rPr>
          <w:rFonts w:ascii="Arial" w:hAnsi="Arial" w:cs="Arial"/>
        </w:rPr>
      </w:pPr>
      <w:r w:rsidRPr="00174470">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14528">
        <w:rPr>
          <w:rFonts w:ascii="Arial" w:hAnsi="Arial" w:cs="Arial"/>
        </w:rPr>
        <w:t xml:space="preserve">    </w:t>
      </w:r>
      <w:r w:rsidRPr="00174470">
        <w:rPr>
          <w:rFonts w:ascii="Arial" w:hAnsi="Arial" w:cs="Arial"/>
        </w:rPr>
        <w:t xml:space="preserve">Nota </w:t>
      </w:r>
      <w:proofErr w:type="spellStart"/>
      <w:r w:rsidRPr="00174470">
        <w:rPr>
          <w:rFonts w:ascii="Arial" w:hAnsi="Arial" w:cs="Arial"/>
        </w:rPr>
        <w:t>N°</w:t>
      </w:r>
      <w:proofErr w:type="spellEnd"/>
      <w:r w:rsidRPr="00174470">
        <w:rPr>
          <w:rFonts w:ascii="Arial" w:hAnsi="Arial" w:cs="Arial"/>
        </w:rPr>
        <w:t xml:space="preserve"> 0</w:t>
      </w:r>
      <w:r w:rsidR="00C14528">
        <w:rPr>
          <w:rFonts w:ascii="Arial" w:hAnsi="Arial" w:cs="Arial"/>
        </w:rPr>
        <w:t>92</w:t>
      </w:r>
      <w:r w:rsidRPr="00174470">
        <w:rPr>
          <w:rFonts w:ascii="Arial" w:hAnsi="Arial" w:cs="Arial"/>
        </w:rPr>
        <w:t>-CNFV-DFV-DNFD-2025</w:t>
      </w:r>
    </w:p>
    <w:p w14:paraId="5A49A24A" w14:textId="77777777" w:rsidR="00A02F21" w:rsidRDefault="00A02F21" w:rsidP="00A02F21">
      <w:pPr>
        <w:pStyle w:val="Prrafodelista"/>
        <w:autoSpaceDE w:val="0"/>
        <w:autoSpaceDN w:val="0"/>
        <w:adjustRightInd w:val="0"/>
        <w:spacing w:after="0" w:line="240" w:lineRule="auto"/>
        <w:jc w:val="both"/>
        <w:rPr>
          <w:rFonts w:ascii="Arial" w:hAnsi="Arial" w:cs="Arial"/>
        </w:rPr>
      </w:pPr>
      <w:r w:rsidRPr="00174470">
        <w:rPr>
          <w:rFonts w:ascii="Arial" w:hAnsi="Arial" w:cs="Arial"/>
        </w:rPr>
        <w:tab/>
      </w:r>
      <w:r w:rsidRPr="00174470">
        <w:rPr>
          <w:rFonts w:ascii="Arial" w:hAnsi="Arial" w:cs="Arial"/>
        </w:rPr>
        <w:tab/>
      </w:r>
      <w:r w:rsidRPr="00174470">
        <w:rPr>
          <w:rFonts w:ascii="Arial" w:hAnsi="Arial" w:cs="Arial"/>
        </w:rPr>
        <w:tab/>
      </w:r>
      <w:r w:rsidRPr="00174470">
        <w:rPr>
          <w:rFonts w:ascii="Arial" w:hAnsi="Arial" w:cs="Arial"/>
        </w:rPr>
        <w:tab/>
      </w:r>
      <w:r w:rsidRPr="00174470">
        <w:rPr>
          <w:rFonts w:ascii="Arial" w:hAnsi="Arial" w:cs="Arial"/>
        </w:rPr>
        <w:tab/>
      </w:r>
      <w:r w:rsidRPr="00174470">
        <w:rPr>
          <w:rFonts w:ascii="Arial" w:hAnsi="Arial" w:cs="Arial"/>
        </w:rPr>
        <w:tab/>
        <w:t xml:space="preserve">      Panamá, 26 de septiembre de 2025</w:t>
      </w:r>
    </w:p>
    <w:p w14:paraId="1CDFE67D" w14:textId="77777777" w:rsidR="00A02F21" w:rsidRDefault="00A02F21" w:rsidP="00A02F21">
      <w:pPr>
        <w:pStyle w:val="Prrafodelista"/>
        <w:autoSpaceDE w:val="0"/>
        <w:autoSpaceDN w:val="0"/>
        <w:adjustRightInd w:val="0"/>
        <w:spacing w:after="0" w:line="240" w:lineRule="auto"/>
        <w:jc w:val="both"/>
        <w:rPr>
          <w:rFonts w:ascii="Arial" w:hAnsi="Arial" w:cs="Arial"/>
        </w:rPr>
      </w:pPr>
    </w:p>
    <w:p w14:paraId="351104E9" w14:textId="77777777" w:rsidR="00A02F21" w:rsidRDefault="00A02F21" w:rsidP="00A02F21">
      <w:pPr>
        <w:pStyle w:val="Prrafodelista"/>
        <w:autoSpaceDE w:val="0"/>
        <w:autoSpaceDN w:val="0"/>
        <w:adjustRightInd w:val="0"/>
        <w:spacing w:after="0" w:line="240" w:lineRule="auto"/>
        <w:jc w:val="both"/>
        <w:rPr>
          <w:rFonts w:ascii="Arial" w:hAnsi="Arial" w:cs="Arial"/>
        </w:rPr>
      </w:pPr>
    </w:p>
    <w:p w14:paraId="3EC61EE6" w14:textId="77777777" w:rsidR="00A02F21" w:rsidRDefault="00A02F21" w:rsidP="00A02F21">
      <w:pPr>
        <w:pStyle w:val="Prrafodelista"/>
        <w:autoSpaceDE w:val="0"/>
        <w:autoSpaceDN w:val="0"/>
        <w:adjustRightInd w:val="0"/>
        <w:spacing w:after="0" w:line="240" w:lineRule="auto"/>
        <w:jc w:val="both"/>
        <w:rPr>
          <w:rFonts w:ascii="Arial" w:hAnsi="Arial" w:cs="Arial"/>
        </w:rPr>
      </w:pPr>
    </w:p>
    <w:p w14:paraId="22AD60CD" w14:textId="77777777" w:rsidR="00A02F21" w:rsidRPr="001B3F4A" w:rsidRDefault="00A02F21" w:rsidP="00A02F21">
      <w:pPr>
        <w:numPr>
          <w:ilvl w:val="0"/>
          <w:numId w:val="2"/>
        </w:numPr>
        <w:spacing w:after="0" w:line="240" w:lineRule="auto"/>
        <w:ind w:left="578"/>
        <w:contextualSpacing/>
        <w:jc w:val="both"/>
        <w:rPr>
          <w:rFonts w:ascii="Arial" w:hAnsi="Arial" w:cs="Arial"/>
          <w:bCs/>
          <w:sz w:val="20"/>
          <w:szCs w:val="20"/>
        </w:rPr>
      </w:pPr>
      <w:r w:rsidRPr="001B3F4A">
        <w:rPr>
          <w:rFonts w:ascii="Arial" w:hAnsi="Arial" w:cs="Arial"/>
          <w:bCs/>
          <w:sz w:val="20"/>
          <w:szCs w:val="20"/>
        </w:rPr>
        <w:t xml:space="preserve">Nota de Seguridad de Medicamentos </w:t>
      </w:r>
      <w:r>
        <w:rPr>
          <w:rFonts w:ascii="Arial" w:hAnsi="Arial" w:cs="Arial"/>
          <w:bCs/>
          <w:sz w:val="20"/>
          <w:szCs w:val="20"/>
        </w:rPr>
        <w:t>246</w:t>
      </w:r>
      <w:r w:rsidRPr="001B3F4A">
        <w:rPr>
          <w:rFonts w:ascii="Arial" w:hAnsi="Arial" w:cs="Arial"/>
          <w:bCs/>
          <w:sz w:val="20"/>
          <w:szCs w:val="20"/>
        </w:rPr>
        <w:t xml:space="preserve">/CNFV/DFV/DNFD del </w:t>
      </w:r>
      <w:r>
        <w:rPr>
          <w:rFonts w:ascii="Arial" w:hAnsi="Arial" w:cs="Arial"/>
          <w:bCs/>
          <w:sz w:val="20"/>
          <w:szCs w:val="20"/>
        </w:rPr>
        <w:t xml:space="preserve">20 </w:t>
      </w:r>
      <w:r w:rsidRPr="001B3F4A">
        <w:rPr>
          <w:rFonts w:ascii="Arial" w:hAnsi="Arial" w:cs="Arial"/>
          <w:bCs/>
          <w:sz w:val="20"/>
          <w:szCs w:val="20"/>
        </w:rPr>
        <w:t>de</w:t>
      </w:r>
      <w:r>
        <w:rPr>
          <w:rFonts w:ascii="Arial" w:hAnsi="Arial" w:cs="Arial"/>
          <w:bCs/>
          <w:sz w:val="20"/>
          <w:szCs w:val="20"/>
        </w:rPr>
        <w:t xml:space="preserve"> diciembre de 2017</w:t>
      </w:r>
      <w:r w:rsidRPr="001B3F4A">
        <w:rPr>
          <w:rFonts w:ascii="Arial" w:hAnsi="Arial" w:cs="Arial"/>
          <w:bCs/>
          <w:sz w:val="20"/>
          <w:szCs w:val="20"/>
        </w:rPr>
        <w:t>, titulada: “</w:t>
      </w:r>
      <w:r>
        <w:rPr>
          <w:rFonts w:ascii="Arial" w:hAnsi="Arial" w:cs="Arial"/>
          <w:bCs/>
          <w:sz w:val="20"/>
          <w:szCs w:val="20"/>
        </w:rPr>
        <w:t>Revisión de precaución de clozapina por parte de la Agencia Reguladora de Japón</w:t>
      </w:r>
      <w:r w:rsidRPr="001B3F4A">
        <w:rPr>
          <w:rFonts w:ascii="Arial" w:hAnsi="Arial" w:cs="Arial"/>
          <w:bCs/>
          <w:sz w:val="20"/>
          <w:szCs w:val="20"/>
        </w:rPr>
        <w:t>”.</w:t>
      </w:r>
    </w:p>
    <w:p w14:paraId="706763C6" w14:textId="77777777" w:rsidR="00A02F21" w:rsidRDefault="00210363" w:rsidP="00A02F21">
      <w:pPr>
        <w:autoSpaceDE w:val="0"/>
        <w:autoSpaceDN w:val="0"/>
        <w:adjustRightInd w:val="0"/>
        <w:spacing w:after="0" w:line="240" w:lineRule="auto"/>
        <w:ind w:firstLine="578"/>
        <w:jc w:val="both"/>
        <w:rPr>
          <w:rFonts w:ascii="Arial" w:hAnsi="Arial" w:cs="Arial"/>
          <w:sz w:val="16"/>
          <w:szCs w:val="16"/>
        </w:rPr>
      </w:pPr>
      <w:hyperlink r:id="rId13" w:history="1">
        <w:r w:rsidR="00A02F21" w:rsidRPr="00214733">
          <w:rPr>
            <w:rStyle w:val="Hipervnculo"/>
            <w:rFonts w:ascii="Arial" w:hAnsi="Arial" w:cs="Arial"/>
            <w:sz w:val="16"/>
            <w:szCs w:val="16"/>
          </w:rPr>
          <w:t>https://www.minsa.gob.pa/sites/default/files/alertas/nota_de_seguridad_clozapina_correccion.pdf</w:t>
        </w:r>
      </w:hyperlink>
      <w:r w:rsidR="00A02F21">
        <w:rPr>
          <w:rFonts w:ascii="Arial" w:hAnsi="Arial" w:cs="Arial"/>
          <w:sz w:val="16"/>
          <w:szCs w:val="16"/>
        </w:rPr>
        <w:t xml:space="preserve"> </w:t>
      </w:r>
    </w:p>
    <w:p w14:paraId="6DEC17D5" w14:textId="77777777" w:rsidR="00A02F21" w:rsidRDefault="00A02F21" w:rsidP="00EA01C4">
      <w:pPr>
        <w:autoSpaceDE w:val="0"/>
        <w:autoSpaceDN w:val="0"/>
        <w:adjustRightInd w:val="0"/>
        <w:spacing w:after="0" w:line="240" w:lineRule="auto"/>
        <w:jc w:val="both"/>
        <w:rPr>
          <w:rFonts w:ascii="Arial" w:hAnsi="Arial" w:cs="Arial"/>
          <w:bCs/>
        </w:rPr>
      </w:pPr>
    </w:p>
    <w:p w14:paraId="133040F7" w14:textId="0BDAFEDE" w:rsidR="00A02F21" w:rsidRPr="001B3F4A" w:rsidRDefault="00A02F21" w:rsidP="00A02F21">
      <w:pPr>
        <w:numPr>
          <w:ilvl w:val="0"/>
          <w:numId w:val="2"/>
        </w:numPr>
        <w:spacing w:after="0" w:line="240" w:lineRule="auto"/>
        <w:ind w:left="578"/>
        <w:contextualSpacing/>
        <w:jc w:val="both"/>
        <w:rPr>
          <w:rFonts w:ascii="Arial" w:hAnsi="Arial" w:cs="Arial"/>
          <w:bCs/>
          <w:sz w:val="20"/>
          <w:szCs w:val="20"/>
        </w:rPr>
      </w:pPr>
      <w:r w:rsidRPr="001B3F4A">
        <w:rPr>
          <w:rFonts w:ascii="Arial" w:hAnsi="Arial" w:cs="Arial"/>
          <w:bCs/>
          <w:sz w:val="20"/>
          <w:szCs w:val="20"/>
        </w:rPr>
        <w:t xml:space="preserve">Nota de Seguridad de Medicamentos </w:t>
      </w:r>
      <w:r>
        <w:rPr>
          <w:rFonts w:ascii="Arial" w:hAnsi="Arial" w:cs="Arial"/>
          <w:bCs/>
          <w:sz w:val="20"/>
          <w:szCs w:val="20"/>
        </w:rPr>
        <w:t>177</w:t>
      </w:r>
      <w:r w:rsidRPr="001B3F4A">
        <w:rPr>
          <w:rFonts w:ascii="Arial" w:hAnsi="Arial" w:cs="Arial"/>
          <w:bCs/>
          <w:sz w:val="20"/>
          <w:szCs w:val="20"/>
        </w:rPr>
        <w:t xml:space="preserve">/CNFV/DFV/DNFD del </w:t>
      </w:r>
      <w:r>
        <w:rPr>
          <w:rFonts w:ascii="Arial" w:hAnsi="Arial" w:cs="Arial"/>
          <w:bCs/>
          <w:sz w:val="20"/>
          <w:szCs w:val="20"/>
        </w:rPr>
        <w:t xml:space="preserve">21 </w:t>
      </w:r>
      <w:r w:rsidRPr="001B3F4A">
        <w:rPr>
          <w:rFonts w:ascii="Arial" w:hAnsi="Arial" w:cs="Arial"/>
          <w:bCs/>
          <w:sz w:val="20"/>
          <w:szCs w:val="20"/>
        </w:rPr>
        <w:t>de</w:t>
      </w:r>
      <w:r>
        <w:rPr>
          <w:rFonts w:ascii="Arial" w:hAnsi="Arial" w:cs="Arial"/>
          <w:bCs/>
          <w:sz w:val="20"/>
          <w:szCs w:val="20"/>
        </w:rPr>
        <w:t xml:space="preserve"> noviembre de 2017</w:t>
      </w:r>
      <w:r w:rsidRPr="001B3F4A">
        <w:rPr>
          <w:rFonts w:ascii="Arial" w:hAnsi="Arial" w:cs="Arial"/>
          <w:bCs/>
          <w:sz w:val="20"/>
          <w:szCs w:val="20"/>
        </w:rPr>
        <w:t>, titulada: “</w:t>
      </w:r>
      <w:r>
        <w:rPr>
          <w:rFonts w:ascii="Arial" w:hAnsi="Arial" w:cs="Arial"/>
          <w:bCs/>
          <w:sz w:val="20"/>
          <w:szCs w:val="20"/>
        </w:rPr>
        <w:t>Riesgo potencialmente mortal de obstrucción intestinal, impactación fecal e íleo paralítico asociado a clozapina</w:t>
      </w:r>
      <w:r w:rsidRPr="001B3F4A">
        <w:rPr>
          <w:rFonts w:ascii="Arial" w:hAnsi="Arial" w:cs="Arial"/>
          <w:bCs/>
          <w:sz w:val="20"/>
          <w:szCs w:val="20"/>
        </w:rPr>
        <w:t>”.</w:t>
      </w:r>
    </w:p>
    <w:p w14:paraId="6822E5B8" w14:textId="618DB9BF" w:rsidR="00A02F21" w:rsidRDefault="00210363" w:rsidP="00A02F21">
      <w:pPr>
        <w:autoSpaceDE w:val="0"/>
        <w:autoSpaceDN w:val="0"/>
        <w:adjustRightInd w:val="0"/>
        <w:spacing w:after="0" w:line="240" w:lineRule="auto"/>
        <w:ind w:firstLine="578"/>
        <w:jc w:val="both"/>
        <w:rPr>
          <w:rFonts w:ascii="Arial" w:hAnsi="Arial" w:cs="Arial"/>
          <w:bCs/>
        </w:rPr>
      </w:pPr>
      <w:hyperlink r:id="rId14" w:history="1">
        <w:r w:rsidR="00A02F21" w:rsidRPr="00214733">
          <w:rPr>
            <w:rStyle w:val="Hipervnculo"/>
            <w:rFonts w:ascii="Arial" w:hAnsi="Arial" w:cs="Arial"/>
            <w:sz w:val="16"/>
            <w:szCs w:val="16"/>
          </w:rPr>
          <w:t>https://www.minsa.gob.pa/sites/default/files/alertas/skm_364e17112716020.pdf</w:t>
        </w:r>
      </w:hyperlink>
      <w:r w:rsidR="00A02F21">
        <w:rPr>
          <w:rFonts w:ascii="Arial" w:hAnsi="Arial" w:cs="Arial"/>
          <w:sz w:val="16"/>
          <w:szCs w:val="16"/>
        </w:rPr>
        <w:t xml:space="preserve"> </w:t>
      </w:r>
    </w:p>
    <w:p w14:paraId="5686702B" w14:textId="77777777" w:rsidR="00A02F21" w:rsidRDefault="00A02F21" w:rsidP="00EA01C4">
      <w:pPr>
        <w:autoSpaceDE w:val="0"/>
        <w:autoSpaceDN w:val="0"/>
        <w:adjustRightInd w:val="0"/>
        <w:spacing w:after="0" w:line="240" w:lineRule="auto"/>
        <w:jc w:val="both"/>
        <w:rPr>
          <w:rFonts w:ascii="Arial" w:hAnsi="Arial" w:cs="Arial"/>
          <w:bCs/>
        </w:rPr>
      </w:pPr>
    </w:p>
    <w:p w14:paraId="569BF4D6" w14:textId="69715741" w:rsidR="00A02F21" w:rsidRPr="001B3F4A" w:rsidRDefault="00A02F21" w:rsidP="00A02F21">
      <w:pPr>
        <w:numPr>
          <w:ilvl w:val="0"/>
          <w:numId w:val="2"/>
        </w:numPr>
        <w:spacing w:after="0" w:line="240" w:lineRule="auto"/>
        <w:ind w:left="578"/>
        <w:contextualSpacing/>
        <w:jc w:val="both"/>
        <w:rPr>
          <w:rFonts w:ascii="Arial" w:hAnsi="Arial" w:cs="Arial"/>
          <w:bCs/>
          <w:sz w:val="20"/>
          <w:szCs w:val="20"/>
        </w:rPr>
      </w:pPr>
      <w:r w:rsidRPr="001B3F4A">
        <w:rPr>
          <w:rFonts w:ascii="Arial" w:hAnsi="Arial" w:cs="Arial"/>
          <w:bCs/>
          <w:sz w:val="20"/>
          <w:szCs w:val="20"/>
        </w:rPr>
        <w:t xml:space="preserve">Nota de Seguridad de Medicamentos </w:t>
      </w:r>
      <w:r>
        <w:rPr>
          <w:rFonts w:ascii="Arial" w:hAnsi="Arial" w:cs="Arial"/>
          <w:bCs/>
          <w:sz w:val="20"/>
          <w:szCs w:val="20"/>
        </w:rPr>
        <w:t>0031</w:t>
      </w:r>
      <w:r w:rsidRPr="001B3F4A">
        <w:rPr>
          <w:rFonts w:ascii="Arial" w:hAnsi="Arial" w:cs="Arial"/>
          <w:bCs/>
          <w:sz w:val="20"/>
          <w:szCs w:val="20"/>
        </w:rPr>
        <w:t xml:space="preserve">/CNFV/DFV/DNFD del </w:t>
      </w:r>
      <w:r>
        <w:rPr>
          <w:rFonts w:ascii="Arial" w:hAnsi="Arial" w:cs="Arial"/>
          <w:bCs/>
          <w:sz w:val="20"/>
          <w:szCs w:val="20"/>
        </w:rPr>
        <w:t xml:space="preserve">19 </w:t>
      </w:r>
      <w:r w:rsidRPr="001B3F4A">
        <w:rPr>
          <w:rFonts w:ascii="Arial" w:hAnsi="Arial" w:cs="Arial"/>
          <w:bCs/>
          <w:sz w:val="20"/>
          <w:szCs w:val="20"/>
        </w:rPr>
        <w:t>de</w:t>
      </w:r>
      <w:r>
        <w:rPr>
          <w:rFonts w:ascii="Arial" w:hAnsi="Arial" w:cs="Arial"/>
          <w:bCs/>
          <w:sz w:val="20"/>
          <w:szCs w:val="20"/>
        </w:rPr>
        <w:t xml:space="preserve"> febrero de 2016</w:t>
      </w:r>
      <w:r w:rsidRPr="001B3F4A">
        <w:rPr>
          <w:rFonts w:ascii="Arial" w:hAnsi="Arial" w:cs="Arial"/>
          <w:bCs/>
          <w:sz w:val="20"/>
          <w:szCs w:val="20"/>
        </w:rPr>
        <w:t>, titulada: “</w:t>
      </w:r>
      <w:r>
        <w:rPr>
          <w:rFonts w:ascii="Arial" w:hAnsi="Arial" w:cs="Arial"/>
          <w:bCs/>
          <w:sz w:val="20"/>
          <w:szCs w:val="20"/>
        </w:rPr>
        <w:t>Información de seguridad de clozapina</w:t>
      </w:r>
      <w:r w:rsidRPr="001B3F4A">
        <w:rPr>
          <w:rFonts w:ascii="Arial" w:hAnsi="Arial" w:cs="Arial"/>
          <w:bCs/>
          <w:sz w:val="20"/>
          <w:szCs w:val="20"/>
        </w:rPr>
        <w:t>”.</w:t>
      </w:r>
    </w:p>
    <w:p w14:paraId="600C326B" w14:textId="4CCE4DB3" w:rsidR="00A02F21" w:rsidRDefault="00210363" w:rsidP="00A02F21">
      <w:pPr>
        <w:autoSpaceDE w:val="0"/>
        <w:autoSpaceDN w:val="0"/>
        <w:adjustRightInd w:val="0"/>
        <w:spacing w:after="0" w:line="240" w:lineRule="auto"/>
        <w:ind w:firstLine="578"/>
        <w:jc w:val="both"/>
        <w:rPr>
          <w:rFonts w:ascii="Arial" w:hAnsi="Arial" w:cs="Arial"/>
          <w:bCs/>
        </w:rPr>
      </w:pPr>
      <w:hyperlink r:id="rId15" w:history="1">
        <w:r w:rsidR="00A02F21" w:rsidRPr="00214733">
          <w:rPr>
            <w:rStyle w:val="Hipervnculo"/>
            <w:rFonts w:ascii="Arial" w:hAnsi="Arial" w:cs="Arial"/>
            <w:sz w:val="16"/>
            <w:szCs w:val="16"/>
          </w:rPr>
          <w:t>https://www.minsa.gob.pa/sites/default/files/alertas/clozapina.pdf</w:t>
        </w:r>
      </w:hyperlink>
      <w:r w:rsidR="00A02F21">
        <w:rPr>
          <w:rFonts w:ascii="Arial" w:hAnsi="Arial" w:cs="Arial"/>
          <w:sz w:val="16"/>
          <w:szCs w:val="16"/>
        </w:rPr>
        <w:t xml:space="preserve"> </w:t>
      </w:r>
    </w:p>
    <w:p w14:paraId="78787F39" w14:textId="77777777" w:rsidR="00A02F21" w:rsidRDefault="00A02F21" w:rsidP="00EA01C4">
      <w:pPr>
        <w:autoSpaceDE w:val="0"/>
        <w:autoSpaceDN w:val="0"/>
        <w:adjustRightInd w:val="0"/>
        <w:spacing w:after="0" w:line="240" w:lineRule="auto"/>
        <w:jc w:val="both"/>
        <w:rPr>
          <w:rFonts w:ascii="Arial" w:hAnsi="Arial" w:cs="Arial"/>
          <w:bCs/>
        </w:rPr>
      </w:pPr>
    </w:p>
    <w:p w14:paraId="36462BDD" w14:textId="377BA5A0" w:rsidR="0005414A" w:rsidRPr="00A02F21" w:rsidRDefault="00A02F21" w:rsidP="00A02F21">
      <w:pPr>
        <w:autoSpaceDE w:val="0"/>
        <w:autoSpaceDN w:val="0"/>
        <w:adjustRightInd w:val="0"/>
        <w:spacing w:after="0" w:line="240" w:lineRule="auto"/>
        <w:jc w:val="both"/>
        <w:rPr>
          <w:rFonts w:ascii="Arial" w:hAnsi="Arial" w:cs="Arial"/>
        </w:rPr>
      </w:pPr>
      <w:r>
        <w:rPr>
          <w:rFonts w:ascii="Arial" w:hAnsi="Arial" w:cs="Arial"/>
        </w:rPr>
        <w:t>Se s</w:t>
      </w:r>
      <w:r w:rsidRPr="00A02F21">
        <w:rPr>
          <w:rFonts w:ascii="Arial" w:hAnsi="Arial" w:cs="Arial"/>
        </w:rPr>
        <w:t>olicita</w:t>
      </w:r>
      <w:r>
        <w:rPr>
          <w:rFonts w:ascii="Arial" w:hAnsi="Arial" w:cs="Arial"/>
        </w:rPr>
        <w:t xml:space="preserve"> a los laboratorios fabricantes de productos farmacéuticos que contengan como principio activo clozapina, incluir la información de seguridad descrita en esta nota de seguridad en la ficha técnica p monografía, así como en le prospecto o inserto.</w:t>
      </w:r>
    </w:p>
    <w:p w14:paraId="52610AC5" w14:textId="77777777" w:rsidR="0005414A" w:rsidRDefault="0005414A" w:rsidP="0005414A">
      <w:pPr>
        <w:autoSpaceDE w:val="0"/>
        <w:autoSpaceDN w:val="0"/>
        <w:adjustRightInd w:val="0"/>
        <w:spacing w:after="0" w:line="240" w:lineRule="auto"/>
        <w:contextualSpacing/>
        <w:jc w:val="both"/>
        <w:rPr>
          <w:rFonts w:ascii="Arial" w:hAnsi="Arial" w:cs="Arial"/>
          <w:color w:val="000000"/>
          <w:shd w:val="clear" w:color="auto" w:fill="FFFFFF"/>
        </w:rPr>
      </w:pPr>
    </w:p>
    <w:p w14:paraId="1C288E71" w14:textId="52E8AFFB" w:rsidR="00B060AE" w:rsidRDefault="00B060AE" w:rsidP="00BA60B6">
      <w:pPr>
        <w:spacing w:after="0"/>
        <w:jc w:val="both"/>
        <w:rPr>
          <w:rFonts w:ascii="Arial" w:hAnsi="Arial" w:cs="Arial"/>
          <w:color w:val="000000"/>
          <w:shd w:val="clear" w:color="auto" w:fill="FFFFFF"/>
        </w:rPr>
      </w:pPr>
      <w:r>
        <w:rPr>
          <w:rFonts w:ascii="Arial" w:hAnsi="Arial" w:cs="Arial"/>
          <w:color w:val="000000"/>
          <w:shd w:val="clear" w:color="auto" w:fill="FFFFFF"/>
        </w:rPr>
        <w:t>Se recomienda a los profesionales de la salud tomar en consideración está información de seguridad.</w:t>
      </w:r>
    </w:p>
    <w:p w14:paraId="1FC13E01" w14:textId="77777777" w:rsidR="00BC0F50" w:rsidRDefault="00BC0F50" w:rsidP="00BA60B6">
      <w:pPr>
        <w:spacing w:after="0"/>
        <w:jc w:val="both"/>
        <w:rPr>
          <w:rFonts w:ascii="Arial" w:hAnsi="Arial" w:cs="Arial"/>
          <w:color w:val="000000"/>
          <w:shd w:val="clear" w:color="auto" w:fill="FFFFFF"/>
        </w:rPr>
      </w:pPr>
    </w:p>
    <w:p w14:paraId="25DD04D3" w14:textId="453ADD1E" w:rsidR="00B060AE" w:rsidRPr="00B060AE" w:rsidRDefault="00B060AE" w:rsidP="00FA3B80">
      <w:pPr>
        <w:spacing w:after="0"/>
        <w:jc w:val="both"/>
        <w:rPr>
          <w:rFonts w:ascii="Arial" w:hAnsi="Arial" w:cs="Arial"/>
          <w:color w:val="000000"/>
          <w:shd w:val="clear" w:color="auto" w:fill="FFFFFF"/>
        </w:rPr>
      </w:pPr>
      <w:r w:rsidRPr="00985A52">
        <w:rPr>
          <w:rFonts w:ascii="Arial" w:hAnsi="Arial" w:cs="Arial"/>
          <w:color w:val="000000"/>
          <w:shd w:val="clear" w:color="auto" w:fill="FFFFFF"/>
        </w:rPr>
        <w:t>Ante las sospechas de reacciones adversas y fallas terapéuticas, les recomendamos a los profesionales sanitarios notificarlas al CNFV del Ministerio de Salud (MINSA), a través de los formularios correspondientes. Se les recuerda que está disponible el portal de notificaciones en línea</w:t>
      </w:r>
      <w:r>
        <w:rPr>
          <w:rFonts w:ascii="Arial" w:hAnsi="Arial" w:cs="Arial"/>
          <w:color w:val="000000"/>
          <w:shd w:val="clear" w:color="auto" w:fill="FFFFFF"/>
        </w:rPr>
        <w:t xml:space="preserve"> </w:t>
      </w:r>
      <w:r w:rsidRPr="00985A52">
        <w:rPr>
          <w:rFonts w:ascii="Arial" w:hAnsi="Arial" w:cs="Arial"/>
          <w:color w:val="000000"/>
          <w:shd w:val="clear" w:color="auto" w:fill="FFFFFF"/>
        </w:rPr>
        <w:t>(</w:t>
      </w:r>
      <w:hyperlink r:id="rId16" w:history="1">
        <w:r w:rsidRPr="008F16FD">
          <w:rPr>
            <w:rStyle w:val="Hipervnculo"/>
            <w:rFonts w:ascii="Arial" w:hAnsi="Arial" w:cs="Arial"/>
            <w:shd w:val="clear" w:color="auto" w:fill="FFFFFF"/>
          </w:rPr>
          <w:t>www.notificacentroamerica.net</w:t>
        </w:r>
      </w:hyperlink>
      <w:r w:rsidRPr="00985A52">
        <w:rPr>
          <w:rFonts w:ascii="Arial" w:hAnsi="Arial" w:cs="Arial"/>
          <w:color w:val="000000"/>
          <w:shd w:val="clear" w:color="auto" w:fill="FFFFFF"/>
        </w:rPr>
        <w:t>)</w:t>
      </w:r>
      <w:r>
        <w:rPr>
          <w:rFonts w:ascii="Arial" w:hAnsi="Arial" w:cs="Arial"/>
          <w:color w:val="000000"/>
          <w:shd w:val="clear" w:color="auto" w:fill="FFFFFF"/>
        </w:rPr>
        <w:t xml:space="preserve">  para las sospechas de reacciones adversas</w:t>
      </w:r>
      <w:r w:rsidRPr="00985A52">
        <w:rPr>
          <w:rFonts w:ascii="Arial" w:hAnsi="Arial" w:cs="Arial"/>
          <w:color w:val="000000"/>
          <w:shd w:val="clear" w:color="auto" w:fill="FFFFFF"/>
        </w:rPr>
        <w:t xml:space="preserve"> </w:t>
      </w:r>
      <w:r>
        <w:rPr>
          <w:rFonts w:ascii="Arial" w:hAnsi="Arial" w:cs="Arial"/>
          <w:color w:val="000000"/>
          <w:shd w:val="clear" w:color="auto" w:fill="FFFFFF"/>
        </w:rPr>
        <w:t>y (</w:t>
      </w:r>
      <w:hyperlink r:id="rId17" w:history="1">
        <w:r w:rsidRPr="008F16FD">
          <w:rPr>
            <w:rStyle w:val="Hipervnculo"/>
            <w:rFonts w:ascii="Arial" w:hAnsi="Arial" w:cs="Arial"/>
            <w:shd w:val="clear" w:color="auto" w:fill="FFFFFF"/>
          </w:rPr>
          <w:t>https://faddi-minsa.panamadigital.gob.pa/login</w:t>
        </w:r>
      </w:hyperlink>
      <w:r>
        <w:rPr>
          <w:rFonts w:ascii="Arial" w:hAnsi="Arial" w:cs="Arial"/>
          <w:color w:val="000000"/>
          <w:shd w:val="clear" w:color="auto" w:fill="FFFFFF"/>
        </w:rPr>
        <w:t>) para las sospechas de fallas terapéuticas.</w:t>
      </w:r>
      <w:r>
        <w:rPr>
          <w:rFonts w:ascii="Arial" w:hAnsi="Arial"/>
          <w:sz w:val="20"/>
          <w:szCs w:val="20"/>
        </w:rPr>
        <w:t xml:space="preserve">                   </w:t>
      </w:r>
    </w:p>
    <w:p w14:paraId="76EEC8ED" w14:textId="77777777" w:rsidR="00FA3B80" w:rsidRDefault="00FA3B80" w:rsidP="00FA3B80">
      <w:pPr>
        <w:spacing w:after="0"/>
        <w:jc w:val="both"/>
        <w:rPr>
          <w:rFonts w:ascii="Arial" w:hAnsi="Arial" w:cs="Arial"/>
          <w:color w:val="000000"/>
          <w:shd w:val="clear" w:color="auto" w:fill="FFFFFF"/>
        </w:rPr>
      </w:pPr>
    </w:p>
    <w:p w14:paraId="77A8A741" w14:textId="3A129BC6" w:rsidR="001B3F4A" w:rsidRPr="00B060AE" w:rsidRDefault="00B060AE" w:rsidP="00FA3B80">
      <w:pPr>
        <w:spacing w:after="0"/>
        <w:jc w:val="both"/>
        <w:rPr>
          <w:rFonts w:ascii="Arial" w:hAnsi="Arial" w:cs="Arial"/>
          <w:color w:val="000000"/>
          <w:shd w:val="clear" w:color="auto" w:fill="FFFFFF"/>
        </w:rPr>
      </w:pPr>
      <w:r w:rsidRPr="00985A52">
        <w:rPr>
          <w:rFonts w:ascii="Arial" w:hAnsi="Arial" w:cs="Arial"/>
          <w:color w:val="000000"/>
          <w:shd w:val="clear" w:color="auto" w:fill="FFFFFF"/>
        </w:rPr>
        <w:t xml:space="preserve">Para finalizar, le agradecemos tomar en consideración la información comunicada en esta nota de seguridad y le solicitamos haga extensiva esta información a otros profesionales de la salud y pacientes. </w:t>
      </w:r>
    </w:p>
    <w:p w14:paraId="04C4A478" w14:textId="77777777" w:rsidR="00FA3B80" w:rsidRDefault="00FA3B80" w:rsidP="001B3F4A">
      <w:pPr>
        <w:spacing w:after="0" w:line="240" w:lineRule="auto"/>
        <w:jc w:val="both"/>
        <w:rPr>
          <w:rFonts w:ascii="Arial" w:eastAsia="Times New Roman" w:hAnsi="Arial" w:cs="Arial"/>
          <w:b/>
          <w:bCs/>
          <w:sz w:val="18"/>
          <w:szCs w:val="18"/>
          <w:shd w:val="clear" w:color="auto" w:fill="FFFFFF"/>
        </w:rPr>
      </w:pPr>
    </w:p>
    <w:p w14:paraId="1C255018" w14:textId="401BC796" w:rsidR="001B3F4A" w:rsidRPr="001B3F4A" w:rsidRDefault="001B3F4A" w:rsidP="001B3F4A">
      <w:pPr>
        <w:spacing w:after="0" w:line="240" w:lineRule="auto"/>
        <w:jc w:val="both"/>
        <w:rPr>
          <w:rFonts w:ascii="Arial" w:eastAsia="Times New Roman" w:hAnsi="Arial" w:cs="Arial"/>
          <w:b/>
          <w:bCs/>
          <w:sz w:val="18"/>
          <w:szCs w:val="18"/>
          <w:shd w:val="clear" w:color="auto" w:fill="FFFFFF"/>
        </w:rPr>
      </w:pPr>
      <w:r w:rsidRPr="001B3F4A">
        <w:rPr>
          <w:rFonts w:ascii="Arial" w:eastAsia="Times New Roman" w:hAnsi="Arial" w:cs="Arial"/>
          <w:b/>
          <w:bCs/>
          <w:sz w:val="18"/>
          <w:szCs w:val="18"/>
          <w:shd w:val="clear" w:color="auto" w:fill="FFFFFF"/>
        </w:rPr>
        <w:t>Fuentes de Información:</w:t>
      </w:r>
    </w:p>
    <w:p w14:paraId="5E7E6D47" w14:textId="0C61D40A" w:rsidR="001B3F4A" w:rsidRPr="001B3F4A" w:rsidRDefault="001B3F4A" w:rsidP="00BE163F">
      <w:pPr>
        <w:numPr>
          <w:ilvl w:val="0"/>
          <w:numId w:val="3"/>
        </w:numPr>
        <w:spacing w:after="0" w:line="240" w:lineRule="auto"/>
        <w:contextualSpacing/>
        <w:jc w:val="both"/>
        <w:rPr>
          <w:rFonts w:ascii="Arial" w:eastAsia="Times New Roman" w:hAnsi="Arial" w:cs="Arial"/>
          <w:color w:val="0000FF"/>
          <w:sz w:val="16"/>
          <w:szCs w:val="16"/>
          <w:u w:val="single"/>
          <w:shd w:val="clear" w:color="auto" w:fill="FFFFFF"/>
          <w:lang w:val="es-PA"/>
        </w:rPr>
      </w:pPr>
      <w:r w:rsidRPr="001B3F4A">
        <w:rPr>
          <w:rFonts w:ascii="Arial" w:eastAsia="Times New Roman" w:hAnsi="Arial" w:cs="Arial"/>
          <w:sz w:val="16"/>
          <w:szCs w:val="16"/>
          <w:lang w:val="es-PA"/>
        </w:rPr>
        <w:t>A</w:t>
      </w:r>
      <w:r w:rsidR="008F5BF9">
        <w:rPr>
          <w:rFonts w:ascii="Arial" w:eastAsia="Times New Roman" w:hAnsi="Arial" w:cs="Arial"/>
          <w:sz w:val="16"/>
          <w:szCs w:val="16"/>
          <w:lang w:val="es-PA"/>
        </w:rPr>
        <w:t xml:space="preserve">gencia Europea de Medicamentos </w:t>
      </w:r>
      <w:r w:rsidRPr="001B3F4A">
        <w:rPr>
          <w:rFonts w:ascii="Arial" w:eastAsia="Times New Roman" w:hAnsi="Arial" w:cs="Arial"/>
          <w:sz w:val="16"/>
          <w:szCs w:val="16"/>
          <w:lang w:val="es-PA"/>
        </w:rPr>
        <w:t>(</w:t>
      </w:r>
      <w:r w:rsidR="008F5BF9">
        <w:rPr>
          <w:rFonts w:ascii="Arial" w:eastAsia="Times New Roman" w:hAnsi="Arial" w:cs="Arial"/>
          <w:sz w:val="16"/>
          <w:szCs w:val="16"/>
          <w:lang w:val="es-PA"/>
        </w:rPr>
        <w:t>EMA</w:t>
      </w:r>
      <w:r w:rsidRPr="001B3F4A">
        <w:rPr>
          <w:rFonts w:ascii="Arial" w:eastAsia="Times New Roman" w:hAnsi="Arial" w:cs="Arial"/>
          <w:sz w:val="16"/>
          <w:szCs w:val="16"/>
          <w:lang w:val="es-PA"/>
        </w:rPr>
        <w:t xml:space="preserve">), [en línea] </w:t>
      </w:r>
      <w:r w:rsidRPr="001B3F4A">
        <w:rPr>
          <w:rFonts w:ascii="Arial" w:eastAsia="Times New Roman" w:hAnsi="Arial" w:cs="Arial"/>
          <w:color w:val="000000"/>
          <w:sz w:val="16"/>
          <w:szCs w:val="16"/>
          <w:shd w:val="clear" w:color="auto" w:fill="FFFFFF"/>
        </w:rPr>
        <w:t>[</w:t>
      </w:r>
      <w:r w:rsidRPr="001B3F4A">
        <w:rPr>
          <w:rFonts w:ascii="Arial" w:eastAsia="Times New Roman" w:hAnsi="Arial" w:cs="Arial"/>
          <w:sz w:val="16"/>
          <w:szCs w:val="16"/>
        </w:rPr>
        <w:t xml:space="preserve">Consultada: </w:t>
      </w:r>
      <w:r w:rsidR="00BE163F">
        <w:rPr>
          <w:rFonts w:ascii="Arial" w:eastAsia="Times New Roman" w:hAnsi="Arial" w:cs="Arial"/>
          <w:sz w:val="16"/>
          <w:szCs w:val="16"/>
        </w:rPr>
        <w:t>2</w:t>
      </w:r>
      <w:r w:rsidR="00174470">
        <w:rPr>
          <w:rFonts w:ascii="Arial" w:eastAsia="Times New Roman" w:hAnsi="Arial" w:cs="Arial"/>
          <w:sz w:val="16"/>
          <w:szCs w:val="16"/>
        </w:rPr>
        <w:t>6</w:t>
      </w:r>
      <w:r w:rsidRPr="001B3F4A">
        <w:rPr>
          <w:rFonts w:ascii="Arial" w:eastAsia="Times New Roman" w:hAnsi="Arial" w:cs="Arial"/>
          <w:sz w:val="16"/>
          <w:szCs w:val="16"/>
        </w:rPr>
        <w:t>/0</w:t>
      </w:r>
      <w:r w:rsidR="00174470">
        <w:rPr>
          <w:rFonts w:ascii="Arial" w:eastAsia="Times New Roman" w:hAnsi="Arial" w:cs="Arial"/>
          <w:sz w:val="16"/>
          <w:szCs w:val="16"/>
        </w:rPr>
        <w:t>9</w:t>
      </w:r>
      <w:r w:rsidRPr="001B3F4A">
        <w:rPr>
          <w:rFonts w:ascii="Arial" w:eastAsia="Times New Roman" w:hAnsi="Arial" w:cs="Arial"/>
          <w:sz w:val="16"/>
          <w:szCs w:val="16"/>
        </w:rPr>
        <w:t>/25</w:t>
      </w:r>
      <w:r w:rsidRPr="001B3F4A">
        <w:rPr>
          <w:rFonts w:ascii="Arial" w:eastAsia="Times New Roman" w:hAnsi="Arial" w:cs="Arial"/>
          <w:color w:val="000000"/>
          <w:sz w:val="16"/>
          <w:szCs w:val="16"/>
          <w:shd w:val="clear" w:color="auto" w:fill="FFFFFF"/>
        </w:rPr>
        <w:t>]</w:t>
      </w:r>
    </w:p>
    <w:p w14:paraId="7E69CF11" w14:textId="794201FE" w:rsidR="00A02F21" w:rsidRPr="00A02F21" w:rsidRDefault="001B3F4A" w:rsidP="00C14528">
      <w:pPr>
        <w:spacing w:after="0"/>
        <w:ind w:left="360"/>
        <w:rPr>
          <w:rFonts w:eastAsia="Times New Roman" w:cs="Times New Roman"/>
          <w:kern w:val="2"/>
          <w:sz w:val="24"/>
          <w:szCs w:val="24"/>
          <w:lang w:val="es-PA" w:eastAsia="en-US"/>
        </w:rPr>
      </w:pPr>
      <w:r w:rsidRPr="001B3F4A">
        <w:rPr>
          <w:rFonts w:ascii="Times New Roman" w:eastAsia="Times New Roman" w:hAnsi="Times New Roman" w:cs="Times New Roman"/>
          <w:sz w:val="16"/>
          <w:szCs w:val="16"/>
        </w:rPr>
        <w:t>&lt;</w:t>
      </w:r>
      <w:r w:rsidR="009E353F" w:rsidRPr="002A7138">
        <w:rPr>
          <w:rFonts w:ascii="Arial" w:hAnsi="Arial" w:cs="Arial"/>
          <w:sz w:val="16"/>
          <w:szCs w:val="16"/>
        </w:rPr>
        <w:t xml:space="preserve"> </w:t>
      </w:r>
      <w:hyperlink r:id="rId18" w:history="1">
        <w:r w:rsidR="00C14528" w:rsidRPr="00C14528">
          <w:rPr>
            <w:rStyle w:val="Hipervnculo"/>
            <w:sz w:val="16"/>
            <w:szCs w:val="16"/>
          </w:rPr>
          <w:t>https://www.ema.europa.eu/en/documents/dhpc/direct-healthcare-professional-communication-dhpc-clozapine-revised-recommendations-routine-blood-count-monitoring-risk-agranulocytosis_en.pdf</w:t>
        </w:r>
      </w:hyperlink>
      <w:r w:rsidR="002A7138" w:rsidRPr="00896E15">
        <w:rPr>
          <w:rStyle w:val="Hipervnculo"/>
          <w:rFonts w:ascii="Arial" w:hAnsi="Arial" w:cs="Arial"/>
          <w:color w:val="auto"/>
          <w:sz w:val="16"/>
          <w:szCs w:val="16"/>
          <w:u w:val="none"/>
          <w:shd w:val="clear" w:color="auto" w:fill="FFFFFF"/>
        </w:rPr>
        <w:t>&gt;</w:t>
      </w:r>
      <w:r w:rsidR="002A7138">
        <w:rPr>
          <w:rFonts w:ascii="Arial" w:eastAsia="Times New Roman" w:hAnsi="Arial" w:cs="Times New Roman"/>
        </w:rPr>
        <w:t xml:space="preserve"> </w:t>
      </w:r>
    </w:p>
    <w:p w14:paraId="09504981" w14:textId="3F99BB87" w:rsidR="00A02F21" w:rsidRPr="00A02F21" w:rsidRDefault="001B3F4A" w:rsidP="00A02F21">
      <w:pPr>
        <w:numPr>
          <w:ilvl w:val="0"/>
          <w:numId w:val="3"/>
        </w:numPr>
        <w:spacing w:after="0" w:line="240" w:lineRule="auto"/>
        <w:contextualSpacing/>
        <w:jc w:val="both"/>
        <w:rPr>
          <w:rFonts w:ascii="Arial" w:eastAsia="Times New Roman" w:hAnsi="Arial" w:cs="Arial"/>
          <w:sz w:val="16"/>
          <w:szCs w:val="16"/>
          <w:shd w:val="clear" w:color="auto" w:fill="FFFFFF"/>
        </w:rPr>
      </w:pPr>
      <w:r w:rsidRPr="001B3F4A">
        <w:rPr>
          <w:rFonts w:ascii="Arial" w:eastAsia="Times New Roman" w:hAnsi="Arial" w:cs="Arial"/>
          <w:sz w:val="16"/>
          <w:szCs w:val="16"/>
        </w:rPr>
        <w:t>Base de Datos de Registro Sanitario de Medicamentos y Productos Similares de la Dirección Nacional de Farmacia y Drogas; Ministerio de Salud, Panamá.</w:t>
      </w:r>
      <w:r w:rsidRPr="001B3F4A">
        <w:rPr>
          <w:rFonts w:ascii="Arial" w:eastAsia="Times New Roman" w:hAnsi="Arial" w:cs="Arial"/>
          <w:color w:val="000000"/>
          <w:sz w:val="16"/>
          <w:szCs w:val="16"/>
          <w:shd w:val="clear" w:color="auto" w:fill="FFFFFF"/>
        </w:rPr>
        <w:t xml:space="preserve"> [</w:t>
      </w:r>
      <w:r w:rsidRPr="001B3F4A">
        <w:rPr>
          <w:rFonts w:ascii="Arial" w:eastAsia="Times New Roman" w:hAnsi="Arial" w:cs="Arial"/>
          <w:sz w:val="16"/>
          <w:szCs w:val="16"/>
        </w:rPr>
        <w:t xml:space="preserve">Consultada: </w:t>
      </w:r>
      <w:r w:rsidR="00BE163F">
        <w:rPr>
          <w:rFonts w:ascii="Arial" w:eastAsia="Times New Roman" w:hAnsi="Arial" w:cs="Arial"/>
          <w:sz w:val="16"/>
          <w:szCs w:val="16"/>
        </w:rPr>
        <w:t>2</w:t>
      </w:r>
      <w:r w:rsidR="00174470">
        <w:rPr>
          <w:rFonts w:ascii="Arial" w:eastAsia="Times New Roman" w:hAnsi="Arial" w:cs="Arial"/>
          <w:sz w:val="16"/>
          <w:szCs w:val="16"/>
        </w:rPr>
        <w:t>6</w:t>
      </w:r>
      <w:r w:rsidRPr="001B3F4A">
        <w:rPr>
          <w:rFonts w:ascii="Arial" w:eastAsia="Times New Roman" w:hAnsi="Arial" w:cs="Arial"/>
          <w:sz w:val="16"/>
          <w:szCs w:val="16"/>
        </w:rPr>
        <w:t>/0</w:t>
      </w:r>
      <w:r w:rsidR="00174470">
        <w:rPr>
          <w:rFonts w:ascii="Arial" w:eastAsia="Times New Roman" w:hAnsi="Arial" w:cs="Arial"/>
          <w:sz w:val="16"/>
          <w:szCs w:val="16"/>
        </w:rPr>
        <w:t>9</w:t>
      </w:r>
      <w:r w:rsidR="008F5BF9">
        <w:rPr>
          <w:rFonts w:ascii="Arial" w:eastAsia="Times New Roman" w:hAnsi="Arial" w:cs="Arial"/>
          <w:sz w:val="16"/>
          <w:szCs w:val="16"/>
        </w:rPr>
        <w:t>/</w:t>
      </w:r>
      <w:r w:rsidRPr="001B3F4A">
        <w:rPr>
          <w:rFonts w:ascii="Arial" w:eastAsia="Times New Roman" w:hAnsi="Arial" w:cs="Arial"/>
          <w:sz w:val="16"/>
          <w:szCs w:val="16"/>
        </w:rPr>
        <w:t>25</w:t>
      </w:r>
      <w:r w:rsidRPr="001B3F4A">
        <w:rPr>
          <w:rFonts w:ascii="Arial" w:eastAsia="Times New Roman" w:hAnsi="Arial" w:cs="Arial"/>
          <w:color w:val="000000"/>
          <w:sz w:val="16"/>
          <w:szCs w:val="16"/>
          <w:shd w:val="clear" w:color="auto" w:fill="FFFFFF"/>
        </w:rPr>
        <w:t xml:space="preserve">] </w:t>
      </w:r>
    </w:p>
    <w:p w14:paraId="00A022CF" w14:textId="2AD6652A" w:rsidR="00A02F21" w:rsidRPr="00A02F21" w:rsidRDefault="00A02F21" w:rsidP="00A02F21">
      <w:pPr>
        <w:numPr>
          <w:ilvl w:val="0"/>
          <w:numId w:val="3"/>
        </w:numPr>
        <w:spacing w:after="0" w:line="240" w:lineRule="auto"/>
        <w:contextualSpacing/>
        <w:jc w:val="both"/>
        <w:rPr>
          <w:rFonts w:ascii="Arial" w:eastAsia="Times New Roman" w:hAnsi="Arial" w:cs="Arial"/>
          <w:sz w:val="16"/>
          <w:szCs w:val="16"/>
          <w:shd w:val="clear" w:color="auto" w:fill="FFFFFF"/>
        </w:rPr>
      </w:pPr>
      <w:r w:rsidRPr="001B3F4A">
        <w:rPr>
          <w:rFonts w:ascii="Arial" w:eastAsia="Times New Roman" w:hAnsi="Arial" w:cs="Arial"/>
          <w:sz w:val="16"/>
          <w:szCs w:val="16"/>
        </w:rPr>
        <w:t xml:space="preserve">Base de Datos </w:t>
      </w:r>
      <w:r>
        <w:rPr>
          <w:rFonts w:ascii="Arial" w:eastAsia="Times New Roman" w:hAnsi="Arial" w:cs="Arial"/>
          <w:sz w:val="16"/>
          <w:szCs w:val="16"/>
        </w:rPr>
        <w:t xml:space="preserve">sobre Notificaciones de Reacciones Adversas </w:t>
      </w:r>
      <w:r w:rsidRPr="001B3F4A">
        <w:rPr>
          <w:rFonts w:ascii="Arial" w:eastAsia="Times New Roman" w:hAnsi="Arial" w:cs="Arial"/>
          <w:sz w:val="16"/>
          <w:szCs w:val="16"/>
        </w:rPr>
        <w:t>de la Dirección Nacional de Farmacia y Drogas; Ministerio de Salud, Panamá.</w:t>
      </w:r>
      <w:r w:rsidRPr="001B3F4A">
        <w:rPr>
          <w:rFonts w:ascii="Arial" w:eastAsia="Times New Roman" w:hAnsi="Arial" w:cs="Arial"/>
          <w:color w:val="000000"/>
          <w:sz w:val="16"/>
          <w:szCs w:val="16"/>
          <w:shd w:val="clear" w:color="auto" w:fill="FFFFFF"/>
        </w:rPr>
        <w:t xml:space="preserve"> [</w:t>
      </w:r>
      <w:r w:rsidRPr="001B3F4A">
        <w:rPr>
          <w:rFonts w:ascii="Arial" w:eastAsia="Times New Roman" w:hAnsi="Arial" w:cs="Arial"/>
          <w:sz w:val="16"/>
          <w:szCs w:val="16"/>
        </w:rPr>
        <w:t xml:space="preserve">Consultada: </w:t>
      </w:r>
      <w:r>
        <w:rPr>
          <w:rFonts w:ascii="Arial" w:eastAsia="Times New Roman" w:hAnsi="Arial" w:cs="Arial"/>
          <w:sz w:val="16"/>
          <w:szCs w:val="16"/>
        </w:rPr>
        <w:t>26</w:t>
      </w:r>
      <w:r w:rsidRPr="001B3F4A">
        <w:rPr>
          <w:rFonts w:ascii="Arial" w:eastAsia="Times New Roman" w:hAnsi="Arial" w:cs="Arial"/>
          <w:sz w:val="16"/>
          <w:szCs w:val="16"/>
        </w:rPr>
        <w:t>/0</w:t>
      </w:r>
      <w:r>
        <w:rPr>
          <w:rFonts w:ascii="Arial" w:eastAsia="Times New Roman" w:hAnsi="Arial" w:cs="Arial"/>
          <w:sz w:val="16"/>
          <w:szCs w:val="16"/>
        </w:rPr>
        <w:t>9/</w:t>
      </w:r>
      <w:r w:rsidRPr="001B3F4A">
        <w:rPr>
          <w:rFonts w:ascii="Arial" w:eastAsia="Times New Roman" w:hAnsi="Arial" w:cs="Arial"/>
          <w:sz w:val="16"/>
          <w:szCs w:val="16"/>
        </w:rPr>
        <w:t>25</w:t>
      </w:r>
      <w:r w:rsidRPr="001B3F4A">
        <w:rPr>
          <w:rFonts w:ascii="Arial" w:eastAsia="Times New Roman" w:hAnsi="Arial" w:cs="Arial"/>
          <w:color w:val="000000"/>
          <w:sz w:val="16"/>
          <w:szCs w:val="16"/>
          <w:shd w:val="clear" w:color="auto" w:fill="FFFFFF"/>
        </w:rPr>
        <w:t xml:space="preserve">] </w:t>
      </w:r>
    </w:p>
    <w:p w14:paraId="51C2B0FE" w14:textId="030F90C0" w:rsidR="00A02F21" w:rsidRPr="001B3F4A" w:rsidRDefault="00A02F21" w:rsidP="00A02F21">
      <w:pPr>
        <w:numPr>
          <w:ilvl w:val="0"/>
          <w:numId w:val="3"/>
        </w:numPr>
        <w:spacing w:after="0" w:line="240" w:lineRule="auto"/>
        <w:contextualSpacing/>
        <w:jc w:val="both"/>
        <w:rPr>
          <w:rFonts w:ascii="Arial" w:eastAsia="Times New Roman" w:hAnsi="Arial" w:cs="Arial"/>
          <w:sz w:val="16"/>
          <w:szCs w:val="16"/>
          <w:shd w:val="clear" w:color="auto" w:fill="FFFFFF"/>
        </w:rPr>
      </w:pPr>
      <w:r w:rsidRPr="001B3F4A">
        <w:rPr>
          <w:rFonts w:ascii="Arial" w:eastAsia="Times New Roman" w:hAnsi="Arial" w:cs="Arial"/>
          <w:sz w:val="16"/>
          <w:szCs w:val="16"/>
        </w:rPr>
        <w:t xml:space="preserve">Base de Datos de </w:t>
      </w:r>
      <w:r>
        <w:rPr>
          <w:rFonts w:ascii="Arial" w:eastAsia="Times New Roman" w:hAnsi="Arial" w:cs="Arial"/>
          <w:sz w:val="16"/>
          <w:szCs w:val="16"/>
        </w:rPr>
        <w:t>Notas de Seguridad de Medicamentos</w:t>
      </w:r>
      <w:r w:rsidRPr="001B3F4A">
        <w:rPr>
          <w:rFonts w:ascii="Arial" w:eastAsia="Times New Roman" w:hAnsi="Arial" w:cs="Arial"/>
          <w:sz w:val="16"/>
          <w:szCs w:val="16"/>
        </w:rPr>
        <w:t xml:space="preserve"> de la Dirección Nacional de Farmacia y Drogas; Ministerio de Salud, Panamá.</w:t>
      </w:r>
      <w:r w:rsidRPr="001B3F4A">
        <w:rPr>
          <w:rFonts w:ascii="Arial" w:eastAsia="Times New Roman" w:hAnsi="Arial" w:cs="Arial"/>
          <w:color w:val="000000"/>
          <w:sz w:val="16"/>
          <w:szCs w:val="16"/>
          <w:shd w:val="clear" w:color="auto" w:fill="FFFFFF"/>
        </w:rPr>
        <w:t xml:space="preserve"> [</w:t>
      </w:r>
      <w:r w:rsidRPr="001B3F4A">
        <w:rPr>
          <w:rFonts w:ascii="Arial" w:eastAsia="Times New Roman" w:hAnsi="Arial" w:cs="Arial"/>
          <w:sz w:val="16"/>
          <w:szCs w:val="16"/>
        </w:rPr>
        <w:t xml:space="preserve">Consultada: </w:t>
      </w:r>
      <w:r>
        <w:rPr>
          <w:rFonts w:ascii="Arial" w:eastAsia="Times New Roman" w:hAnsi="Arial" w:cs="Arial"/>
          <w:sz w:val="16"/>
          <w:szCs w:val="16"/>
        </w:rPr>
        <w:t>26</w:t>
      </w:r>
      <w:r w:rsidRPr="001B3F4A">
        <w:rPr>
          <w:rFonts w:ascii="Arial" w:eastAsia="Times New Roman" w:hAnsi="Arial" w:cs="Arial"/>
          <w:sz w:val="16"/>
          <w:szCs w:val="16"/>
        </w:rPr>
        <w:t>/0</w:t>
      </w:r>
      <w:r>
        <w:rPr>
          <w:rFonts w:ascii="Arial" w:eastAsia="Times New Roman" w:hAnsi="Arial" w:cs="Arial"/>
          <w:sz w:val="16"/>
          <w:szCs w:val="16"/>
        </w:rPr>
        <w:t>9/</w:t>
      </w:r>
      <w:r w:rsidRPr="001B3F4A">
        <w:rPr>
          <w:rFonts w:ascii="Arial" w:eastAsia="Times New Roman" w:hAnsi="Arial" w:cs="Arial"/>
          <w:sz w:val="16"/>
          <w:szCs w:val="16"/>
        </w:rPr>
        <w:t>25</w:t>
      </w:r>
      <w:r w:rsidRPr="001B3F4A">
        <w:rPr>
          <w:rFonts w:ascii="Arial" w:eastAsia="Times New Roman" w:hAnsi="Arial" w:cs="Arial"/>
          <w:color w:val="000000"/>
          <w:sz w:val="16"/>
          <w:szCs w:val="16"/>
          <w:shd w:val="clear" w:color="auto" w:fill="FFFFFF"/>
        </w:rPr>
        <w:t xml:space="preserve">] </w:t>
      </w:r>
    </w:p>
    <w:p w14:paraId="52F66662" w14:textId="77777777" w:rsidR="00A02F21" w:rsidRPr="001B3F4A" w:rsidRDefault="00A02F21" w:rsidP="00A02F21">
      <w:pPr>
        <w:spacing w:after="0" w:line="240" w:lineRule="auto"/>
        <w:ind w:left="360"/>
        <w:contextualSpacing/>
        <w:jc w:val="both"/>
        <w:rPr>
          <w:rFonts w:ascii="Arial" w:eastAsia="Times New Roman" w:hAnsi="Arial" w:cs="Arial"/>
          <w:sz w:val="16"/>
          <w:szCs w:val="16"/>
          <w:shd w:val="clear" w:color="auto" w:fill="FFFFFF"/>
        </w:rPr>
      </w:pPr>
    </w:p>
    <w:p w14:paraId="6D87CC58" w14:textId="77777777" w:rsidR="001B3F4A" w:rsidRPr="001B3F4A" w:rsidRDefault="001B3F4A" w:rsidP="00BE163F">
      <w:pPr>
        <w:spacing w:after="0" w:line="240" w:lineRule="auto"/>
        <w:jc w:val="both"/>
        <w:rPr>
          <w:rFonts w:ascii="Arial" w:eastAsia="Times New Roman" w:hAnsi="Arial" w:cs="Arial"/>
          <w:shd w:val="clear" w:color="auto" w:fill="FFFFFF"/>
        </w:rPr>
      </w:pPr>
    </w:p>
    <w:p w14:paraId="0DB72E0E" w14:textId="77777777" w:rsidR="001B3F4A" w:rsidRPr="001B3F4A" w:rsidRDefault="001B3F4A" w:rsidP="001B3F4A">
      <w:pPr>
        <w:spacing w:after="0" w:line="240" w:lineRule="auto"/>
        <w:jc w:val="both"/>
        <w:rPr>
          <w:rFonts w:ascii="Arial" w:eastAsia="Times New Roman" w:hAnsi="Arial" w:cs="Arial"/>
          <w:sz w:val="18"/>
          <w:szCs w:val="18"/>
        </w:rPr>
      </w:pPr>
      <w:r w:rsidRPr="001B3F4A">
        <w:rPr>
          <w:rFonts w:ascii="Arial" w:eastAsia="Times New Roman" w:hAnsi="Arial" w:cs="Arial"/>
          <w:b/>
          <w:bCs/>
          <w:sz w:val="18"/>
          <w:szCs w:val="18"/>
        </w:rPr>
        <w:t>P.D.:</w:t>
      </w:r>
      <w:r w:rsidRPr="001B3F4A">
        <w:rPr>
          <w:rFonts w:ascii="Arial" w:eastAsia="Times New Roman" w:hAnsi="Arial" w:cs="Arial"/>
          <w:sz w:val="18"/>
          <w:szCs w:val="18"/>
        </w:rPr>
        <w:t xml:space="preserve"> </w:t>
      </w:r>
      <w:r w:rsidRPr="001B3F4A">
        <w:rPr>
          <w:rFonts w:ascii="Arial" w:eastAsia="Times New Roman" w:hAnsi="Arial" w:cs="Arial"/>
          <w:b/>
          <w:bCs/>
          <w:sz w:val="18"/>
          <w:szCs w:val="18"/>
        </w:rPr>
        <w:t>El objetivo de esta nota de seguridad de medicamentos es difundir información sobre la seguridad de los medicamentos basados en las comunicaciones de las agencias reguladoras de medicamentos. Esta es una traducción del texto original de carácter informativo. Cualquier incoherencia en el texto, prevalecerá el del texto en su idioma de origen.</w:t>
      </w:r>
    </w:p>
    <w:p w14:paraId="662630E7" w14:textId="79416168" w:rsidR="00937335" w:rsidRPr="00ED1BCF" w:rsidRDefault="008F5BF9" w:rsidP="001B3F4A">
      <w:pPr>
        <w:spacing w:after="0" w:line="240" w:lineRule="auto"/>
        <w:ind w:left="-426" w:right="425"/>
        <w:rPr>
          <w:lang w:val="es-ES_tradnl"/>
        </w:rPr>
      </w:pPr>
      <w:r>
        <w:rPr>
          <w:rFonts w:ascii="Arial" w:eastAsia="Times New Roman" w:hAnsi="Arial" w:cs="Arial"/>
          <w:sz w:val="20"/>
          <w:szCs w:val="20"/>
        </w:rPr>
        <w:t xml:space="preserve"> </w:t>
      </w:r>
      <w:r w:rsidR="00896E15">
        <w:rPr>
          <w:rFonts w:ascii="Arial" w:eastAsia="Times New Roman" w:hAnsi="Arial" w:cs="Arial"/>
          <w:sz w:val="20"/>
          <w:szCs w:val="20"/>
        </w:rPr>
        <w:tab/>
      </w:r>
      <w:r w:rsidR="00A02F21">
        <w:rPr>
          <w:rFonts w:ascii="Arial" w:eastAsia="Times New Roman" w:hAnsi="Arial" w:cs="Arial"/>
          <w:sz w:val="20"/>
          <w:szCs w:val="20"/>
        </w:rPr>
        <w:t>JA</w:t>
      </w:r>
      <w:r w:rsidR="001B3F4A" w:rsidRPr="001B3F4A">
        <w:rPr>
          <w:rFonts w:ascii="Arial" w:eastAsia="Times New Roman" w:hAnsi="Arial" w:cs="Arial"/>
          <w:sz w:val="20"/>
          <w:szCs w:val="20"/>
        </w:rPr>
        <w:t>/</w:t>
      </w:r>
      <w:proofErr w:type="spellStart"/>
      <w:r w:rsidR="001B3F4A" w:rsidRPr="001B3F4A">
        <w:rPr>
          <w:rFonts w:ascii="Arial" w:eastAsia="Times New Roman" w:hAnsi="Arial" w:cs="Arial"/>
          <w:sz w:val="20"/>
          <w:szCs w:val="20"/>
        </w:rPr>
        <w:t>ia</w:t>
      </w:r>
      <w:proofErr w:type="spellEnd"/>
      <w:r w:rsidR="001B3F4A" w:rsidRPr="001B3F4A">
        <w:rPr>
          <w:rFonts w:ascii="Arial" w:eastAsia="Times New Roman" w:hAnsi="Arial" w:cs="Arial"/>
        </w:rPr>
        <w:t>-------------------------------------------------última línea-------------------------------------------</w:t>
      </w:r>
    </w:p>
    <w:sectPr w:rsidR="00937335" w:rsidRPr="00ED1BCF" w:rsidSect="006A2DA6">
      <w:headerReference w:type="default" r:id="rId19"/>
      <w:footerReference w:type="default" r:id="rId20"/>
      <w:pgSz w:w="12240" w:h="20160" w:code="5"/>
      <w:pgMar w:top="1417" w:right="1701" w:bottom="1417" w:left="1701" w:header="36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CF0A8" w14:textId="77777777" w:rsidR="009C2C92" w:rsidRDefault="009C2C92" w:rsidP="00721835">
      <w:pPr>
        <w:spacing w:after="0" w:line="240" w:lineRule="auto"/>
      </w:pPr>
      <w:r>
        <w:separator/>
      </w:r>
    </w:p>
  </w:endnote>
  <w:endnote w:type="continuationSeparator" w:id="0">
    <w:p w14:paraId="07F6C5FF" w14:textId="77777777" w:rsidR="009C2C92" w:rsidRDefault="009C2C92" w:rsidP="00721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64818" w14:textId="35735B01" w:rsidR="00721835" w:rsidRPr="00ED1BCF" w:rsidRDefault="000039C6" w:rsidP="00D20CE4">
    <w:pPr>
      <w:ind w:left="-993" w:right="-425" w:hanging="567"/>
      <w:rPr>
        <w:rFonts w:ascii="Tahoma" w:hAnsi="Tahoma" w:cs="Tahoma"/>
        <w:lang w:val="es-ES_tradnl"/>
      </w:rPr>
    </w:pPr>
    <w:r>
      <w:rPr>
        <w:rFonts w:ascii="Tahoma" w:hAnsi="Tahoma" w:cs="Tahoma"/>
        <w:noProof/>
        <w:lang w:val="es-ES_tradnl"/>
        <w14:ligatures w14:val="standardContextual"/>
      </w:rPr>
      <w:drawing>
        <wp:inline distT="0" distB="0" distL="0" distR="0" wp14:anchorId="06ED6C0B" wp14:editId="65681310">
          <wp:extent cx="7588469" cy="635488"/>
          <wp:effectExtent l="0" t="0" r="0" b="0"/>
          <wp:docPr id="179432223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22237"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872146" cy="6592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3411B" w14:textId="77777777" w:rsidR="009C2C92" w:rsidRDefault="009C2C92" w:rsidP="00721835">
      <w:pPr>
        <w:spacing w:after="0" w:line="240" w:lineRule="auto"/>
      </w:pPr>
      <w:r>
        <w:separator/>
      </w:r>
    </w:p>
  </w:footnote>
  <w:footnote w:type="continuationSeparator" w:id="0">
    <w:p w14:paraId="1C629A05" w14:textId="77777777" w:rsidR="009C2C92" w:rsidRDefault="009C2C92" w:rsidP="00721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E0DC" w14:textId="68D92217" w:rsidR="00721835" w:rsidRDefault="00721835" w:rsidP="00721835">
    <w:pPr>
      <w:pStyle w:val="Encabezado"/>
      <w:tabs>
        <w:tab w:val="clear" w:pos="8838"/>
      </w:tabs>
      <w:ind w:left="-1134" w:right="-801"/>
    </w:pPr>
    <w:r>
      <w:t xml:space="preserve">           </w:t>
    </w:r>
    <w:r>
      <w:rPr>
        <w:noProof/>
        <w14:ligatures w14:val="standardContextual"/>
      </w:rPr>
      <w:drawing>
        <wp:inline distT="0" distB="0" distL="0" distR="0" wp14:anchorId="43EA2565" wp14:editId="2C762291">
          <wp:extent cx="1759527" cy="626128"/>
          <wp:effectExtent l="0" t="0" r="0" b="0"/>
          <wp:docPr id="39327173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495180" name="Imagen 936495180"/>
                  <pic:cNvPicPr/>
                </pic:nvPicPr>
                <pic:blipFill>
                  <a:blip r:embed="rId1">
                    <a:extLst>
                      <a:ext uri="{28A0092B-C50C-407E-A947-70E740481C1C}">
                        <a14:useLocalDpi xmlns:a14="http://schemas.microsoft.com/office/drawing/2010/main" val="0"/>
                      </a:ext>
                    </a:extLst>
                  </a:blip>
                  <a:stretch>
                    <a:fillRect/>
                  </a:stretch>
                </pic:blipFill>
                <pic:spPr>
                  <a:xfrm>
                    <a:off x="0" y="0"/>
                    <a:ext cx="1865581" cy="663867"/>
                  </a:xfrm>
                  <a:prstGeom prst="rect">
                    <a:avLst/>
                  </a:prstGeom>
                </pic:spPr>
              </pic:pic>
            </a:graphicData>
          </a:graphic>
        </wp:inline>
      </w:drawing>
    </w:r>
    <w:r>
      <w:t xml:space="preserve">                                                                                                                                </w:t>
    </w:r>
    <w:r>
      <w:rPr>
        <w:noProof/>
        <w14:ligatures w14:val="standardContextual"/>
      </w:rPr>
      <w:drawing>
        <wp:inline distT="0" distB="0" distL="0" distR="0" wp14:anchorId="3FC3C4D7" wp14:editId="11E20AE4">
          <wp:extent cx="955964" cy="955964"/>
          <wp:effectExtent l="0" t="0" r="0" b="0"/>
          <wp:docPr id="212683384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360679" name="Imagen 680360679"/>
                  <pic:cNvPicPr/>
                </pic:nvPicPr>
                <pic:blipFill>
                  <a:blip r:embed="rId2">
                    <a:extLst>
                      <a:ext uri="{28A0092B-C50C-407E-A947-70E740481C1C}">
                        <a14:useLocalDpi xmlns:a14="http://schemas.microsoft.com/office/drawing/2010/main" val="0"/>
                      </a:ext>
                    </a:extLst>
                  </a:blip>
                  <a:stretch>
                    <a:fillRect/>
                  </a:stretch>
                </pic:blipFill>
                <pic:spPr>
                  <a:xfrm>
                    <a:off x="0" y="0"/>
                    <a:ext cx="1000694" cy="10006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D7B"/>
    <w:multiLevelType w:val="hybridMultilevel"/>
    <w:tmpl w:val="1FE6447A"/>
    <w:lvl w:ilvl="0" w:tplc="180A0001">
      <w:start w:val="1"/>
      <w:numFmt w:val="bullet"/>
      <w:lvlText w:val=""/>
      <w:lvlJc w:val="left"/>
      <w:pPr>
        <w:ind w:left="296" w:hanging="360"/>
      </w:pPr>
      <w:rPr>
        <w:rFonts w:ascii="Symbol" w:hAnsi="Symbol" w:hint="default"/>
      </w:rPr>
    </w:lvl>
    <w:lvl w:ilvl="1" w:tplc="180A0003" w:tentative="1">
      <w:start w:val="1"/>
      <w:numFmt w:val="bullet"/>
      <w:lvlText w:val="o"/>
      <w:lvlJc w:val="left"/>
      <w:pPr>
        <w:ind w:left="1016" w:hanging="360"/>
      </w:pPr>
      <w:rPr>
        <w:rFonts w:ascii="Courier New" w:hAnsi="Courier New" w:cs="Courier New" w:hint="default"/>
      </w:rPr>
    </w:lvl>
    <w:lvl w:ilvl="2" w:tplc="180A0005" w:tentative="1">
      <w:start w:val="1"/>
      <w:numFmt w:val="bullet"/>
      <w:lvlText w:val=""/>
      <w:lvlJc w:val="left"/>
      <w:pPr>
        <w:ind w:left="1736" w:hanging="360"/>
      </w:pPr>
      <w:rPr>
        <w:rFonts w:ascii="Wingdings" w:hAnsi="Wingdings" w:hint="default"/>
      </w:rPr>
    </w:lvl>
    <w:lvl w:ilvl="3" w:tplc="180A0001" w:tentative="1">
      <w:start w:val="1"/>
      <w:numFmt w:val="bullet"/>
      <w:lvlText w:val=""/>
      <w:lvlJc w:val="left"/>
      <w:pPr>
        <w:ind w:left="2456" w:hanging="360"/>
      </w:pPr>
      <w:rPr>
        <w:rFonts w:ascii="Symbol" w:hAnsi="Symbol" w:hint="default"/>
      </w:rPr>
    </w:lvl>
    <w:lvl w:ilvl="4" w:tplc="180A0003" w:tentative="1">
      <w:start w:val="1"/>
      <w:numFmt w:val="bullet"/>
      <w:lvlText w:val="o"/>
      <w:lvlJc w:val="left"/>
      <w:pPr>
        <w:ind w:left="3176" w:hanging="360"/>
      </w:pPr>
      <w:rPr>
        <w:rFonts w:ascii="Courier New" w:hAnsi="Courier New" w:cs="Courier New" w:hint="default"/>
      </w:rPr>
    </w:lvl>
    <w:lvl w:ilvl="5" w:tplc="180A0005" w:tentative="1">
      <w:start w:val="1"/>
      <w:numFmt w:val="bullet"/>
      <w:lvlText w:val=""/>
      <w:lvlJc w:val="left"/>
      <w:pPr>
        <w:ind w:left="3896" w:hanging="360"/>
      </w:pPr>
      <w:rPr>
        <w:rFonts w:ascii="Wingdings" w:hAnsi="Wingdings" w:hint="default"/>
      </w:rPr>
    </w:lvl>
    <w:lvl w:ilvl="6" w:tplc="180A0001" w:tentative="1">
      <w:start w:val="1"/>
      <w:numFmt w:val="bullet"/>
      <w:lvlText w:val=""/>
      <w:lvlJc w:val="left"/>
      <w:pPr>
        <w:ind w:left="4616" w:hanging="360"/>
      </w:pPr>
      <w:rPr>
        <w:rFonts w:ascii="Symbol" w:hAnsi="Symbol" w:hint="default"/>
      </w:rPr>
    </w:lvl>
    <w:lvl w:ilvl="7" w:tplc="180A0003" w:tentative="1">
      <w:start w:val="1"/>
      <w:numFmt w:val="bullet"/>
      <w:lvlText w:val="o"/>
      <w:lvlJc w:val="left"/>
      <w:pPr>
        <w:ind w:left="5336" w:hanging="360"/>
      </w:pPr>
      <w:rPr>
        <w:rFonts w:ascii="Courier New" w:hAnsi="Courier New" w:cs="Courier New" w:hint="default"/>
      </w:rPr>
    </w:lvl>
    <w:lvl w:ilvl="8" w:tplc="180A0005" w:tentative="1">
      <w:start w:val="1"/>
      <w:numFmt w:val="bullet"/>
      <w:lvlText w:val=""/>
      <w:lvlJc w:val="left"/>
      <w:pPr>
        <w:ind w:left="6056" w:hanging="360"/>
      </w:pPr>
      <w:rPr>
        <w:rFonts w:ascii="Wingdings" w:hAnsi="Wingdings" w:hint="default"/>
      </w:rPr>
    </w:lvl>
  </w:abstractNum>
  <w:abstractNum w:abstractNumId="1" w15:restartNumberingAfterBreak="0">
    <w:nsid w:val="0C251F68"/>
    <w:multiLevelType w:val="hybridMultilevel"/>
    <w:tmpl w:val="FFFFFFFF"/>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15:restartNumberingAfterBreak="0">
    <w:nsid w:val="133C1EF8"/>
    <w:multiLevelType w:val="hybridMultilevel"/>
    <w:tmpl w:val="9202EDD8"/>
    <w:lvl w:ilvl="0" w:tplc="ED380920">
      <w:start w:val="4"/>
      <w:numFmt w:val="bullet"/>
      <w:lvlText w:val=""/>
      <w:lvlJc w:val="left"/>
      <w:pPr>
        <w:ind w:left="720" w:hanging="360"/>
      </w:pPr>
      <w:rPr>
        <w:rFonts w:ascii="Symbol" w:eastAsia="Times New Roman" w:hAnsi="Symbo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15:restartNumberingAfterBreak="0">
    <w:nsid w:val="15227D0F"/>
    <w:multiLevelType w:val="hybridMultilevel"/>
    <w:tmpl w:val="1CE6230A"/>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15:restartNumberingAfterBreak="0">
    <w:nsid w:val="158A7B20"/>
    <w:multiLevelType w:val="hybridMultilevel"/>
    <w:tmpl w:val="968853A6"/>
    <w:lvl w:ilvl="0" w:tplc="ED380920">
      <w:start w:val="4"/>
      <w:numFmt w:val="bullet"/>
      <w:lvlText w:val=""/>
      <w:lvlJc w:val="left"/>
      <w:pPr>
        <w:ind w:left="720" w:hanging="360"/>
      </w:pPr>
      <w:rPr>
        <w:rFonts w:ascii="Symbol" w:eastAsia="Times New Roman" w:hAnsi="Symbo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15:restartNumberingAfterBreak="0">
    <w:nsid w:val="26682DC8"/>
    <w:multiLevelType w:val="hybridMultilevel"/>
    <w:tmpl w:val="7D72EAD6"/>
    <w:lvl w:ilvl="0" w:tplc="DB361FA2">
      <w:start w:val="1"/>
      <w:numFmt w:val="bullet"/>
      <w:lvlText w:val=""/>
      <w:lvlJc w:val="left"/>
      <w:pPr>
        <w:ind w:left="360" w:hanging="360"/>
      </w:pPr>
      <w:rPr>
        <w:rFonts w:ascii="Symbol" w:hAnsi="Symbol" w:hint="default"/>
        <w:color w:val="auto"/>
      </w:rPr>
    </w:lvl>
    <w:lvl w:ilvl="1" w:tplc="180A0003" w:tentative="1">
      <w:start w:val="1"/>
      <w:numFmt w:val="bullet"/>
      <w:lvlText w:val="o"/>
      <w:lvlJc w:val="left"/>
      <w:pPr>
        <w:ind w:left="1080" w:hanging="360"/>
      </w:pPr>
      <w:rPr>
        <w:rFonts w:ascii="Courier New" w:hAnsi="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6" w15:restartNumberingAfterBreak="0">
    <w:nsid w:val="27202DB7"/>
    <w:multiLevelType w:val="hybridMultilevel"/>
    <w:tmpl w:val="DFF0A15A"/>
    <w:lvl w:ilvl="0" w:tplc="180A0003">
      <w:start w:val="1"/>
      <w:numFmt w:val="bullet"/>
      <w:lvlText w:val="o"/>
      <w:lvlJc w:val="left"/>
      <w:pPr>
        <w:ind w:left="1440" w:hanging="360"/>
      </w:pPr>
      <w:rPr>
        <w:rFonts w:ascii="Courier New" w:hAnsi="Courier New" w:cs="Courier New"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7" w15:restartNumberingAfterBreak="0">
    <w:nsid w:val="2C591903"/>
    <w:multiLevelType w:val="hybridMultilevel"/>
    <w:tmpl w:val="9710A914"/>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15:restartNumberingAfterBreak="0">
    <w:nsid w:val="31AF4FE7"/>
    <w:multiLevelType w:val="hybridMultilevel"/>
    <w:tmpl w:val="0C603D3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15:restartNumberingAfterBreak="0">
    <w:nsid w:val="381F45CE"/>
    <w:multiLevelType w:val="hybridMultilevel"/>
    <w:tmpl w:val="D87EDA36"/>
    <w:lvl w:ilvl="0" w:tplc="180A0009">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15:restartNumberingAfterBreak="0">
    <w:nsid w:val="3A2C7BD7"/>
    <w:multiLevelType w:val="hybridMultilevel"/>
    <w:tmpl w:val="266E8CD6"/>
    <w:lvl w:ilvl="0" w:tplc="562A0A6C">
      <w:start w:val="1"/>
      <w:numFmt w:val="bullet"/>
      <w:lvlText w:val=""/>
      <w:lvlJc w:val="left"/>
      <w:pPr>
        <w:ind w:left="644" w:hanging="360"/>
      </w:pPr>
      <w:rPr>
        <w:rFonts w:ascii="Wingdings" w:hAnsi="Wingdings" w:hint="default"/>
        <w:color w:val="auto"/>
      </w:rPr>
    </w:lvl>
    <w:lvl w:ilvl="1" w:tplc="180A0003" w:tentative="1">
      <w:start w:val="1"/>
      <w:numFmt w:val="bullet"/>
      <w:lvlText w:val="o"/>
      <w:lvlJc w:val="left"/>
      <w:pPr>
        <w:ind w:left="1364" w:hanging="360"/>
      </w:pPr>
      <w:rPr>
        <w:rFonts w:ascii="Courier New" w:hAnsi="Courier New" w:hint="default"/>
      </w:rPr>
    </w:lvl>
    <w:lvl w:ilvl="2" w:tplc="180A0005" w:tentative="1">
      <w:start w:val="1"/>
      <w:numFmt w:val="bullet"/>
      <w:lvlText w:val=""/>
      <w:lvlJc w:val="left"/>
      <w:pPr>
        <w:ind w:left="2084" w:hanging="360"/>
      </w:pPr>
      <w:rPr>
        <w:rFonts w:ascii="Wingdings" w:hAnsi="Wingdings" w:hint="default"/>
      </w:rPr>
    </w:lvl>
    <w:lvl w:ilvl="3" w:tplc="180A0001" w:tentative="1">
      <w:start w:val="1"/>
      <w:numFmt w:val="bullet"/>
      <w:lvlText w:val=""/>
      <w:lvlJc w:val="left"/>
      <w:pPr>
        <w:ind w:left="2804" w:hanging="360"/>
      </w:pPr>
      <w:rPr>
        <w:rFonts w:ascii="Symbol" w:hAnsi="Symbol" w:hint="default"/>
      </w:rPr>
    </w:lvl>
    <w:lvl w:ilvl="4" w:tplc="180A0003" w:tentative="1">
      <w:start w:val="1"/>
      <w:numFmt w:val="bullet"/>
      <w:lvlText w:val="o"/>
      <w:lvlJc w:val="left"/>
      <w:pPr>
        <w:ind w:left="3524" w:hanging="360"/>
      </w:pPr>
      <w:rPr>
        <w:rFonts w:ascii="Courier New" w:hAnsi="Courier New" w:hint="default"/>
      </w:rPr>
    </w:lvl>
    <w:lvl w:ilvl="5" w:tplc="180A0005" w:tentative="1">
      <w:start w:val="1"/>
      <w:numFmt w:val="bullet"/>
      <w:lvlText w:val=""/>
      <w:lvlJc w:val="left"/>
      <w:pPr>
        <w:ind w:left="4244" w:hanging="360"/>
      </w:pPr>
      <w:rPr>
        <w:rFonts w:ascii="Wingdings" w:hAnsi="Wingdings" w:hint="default"/>
      </w:rPr>
    </w:lvl>
    <w:lvl w:ilvl="6" w:tplc="180A0001" w:tentative="1">
      <w:start w:val="1"/>
      <w:numFmt w:val="bullet"/>
      <w:lvlText w:val=""/>
      <w:lvlJc w:val="left"/>
      <w:pPr>
        <w:ind w:left="4964" w:hanging="360"/>
      </w:pPr>
      <w:rPr>
        <w:rFonts w:ascii="Symbol" w:hAnsi="Symbol" w:hint="default"/>
      </w:rPr>
    </w:lvl>
    <w:lvl w:ilvl="7" w:tplc="180A0003" w:tentative="1">
      <w:start w:val="1"/>
      <w:numFmt w:val="bullet"/>
      <w:lvlText w:val="o"/>
      <w:lvlJc w:val="left"/>
      <w:pPr>
        <w:ind w:left="5684" w:hanging="360"/>
      </w:pPr>
      <w:rPr>
        <w:rFonts w:ascii="Courier New" w:hAnsi="Courier New" w:hint="default"/>
      </w:rPr>
    </w:lvl>
    <w:lvl w:ilvl="8" w:tplc="180A0005" w:tentative="1">
      <w:start w:val="1"/>
      <w:numFmt w:val="bullet"/>
      <w:lvlText w:val=""/>
      <w:lvlJc w:val="left"/>
      <w:pPr>
        <w:ind w:left="6404" w:hanging="360"/>
      </w:pPr>
      <w:rPr>
        <w:rFonts w:ascii="Wingdings" w:hAnsi="Wingdings" w:hint="default"/>
      </w:rPr>
    </w:lvl>
  </w:abstractNum>
  <w:abstractNum w:abstractNumId="11" w15:restartNumberingAfterBreak="0">
    <w:nsid w:val="3B450D6E"/>
    <w:multiLevelType w:val="hybridMultilevel"/>
    <w:tmpl w:val="8C74A568"/>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15:restartNumberingAfterBreak="0">
    <w:nsid w:val="3CCF06E9"/>
    <w:multiLevelType w:val="hybridMultilevel"/>
    <w:tmpl w:val="B0C60BC6"/>
    <w:lvl w:ilvl="0" w:tplc="F83A8628">
      <w:start w:val="1"/>
      <w:numFmt w:val="bullet"/>
      <w:lvlText w:val=""/>
      <w:lvlJc w:val="left"/>
      <w:pPr>
        <w:ind w:left="720" w:hanging="360"/>
      </w:pPr>
      <w:rPr>
        <w:rFonts w:ascii="Wingdings" w:hAnsi="Wingdings" w:hint="default"/>
        <w:color w:val="auto"/>
      </w:rPr>
    </w:lvl>
    <w:lvl w:ilvl="1" w:tplc="180A0003" w:tentative="1">
      <w:start w:val="1"/>
      <w:numFmt w:val="bullet"/>
      <w:lvlText w:val="o"/>
      <w:lvlJc w:val="left"/>
      <w:pPr>
        <w:ind w:left="1440" w:hanging="360"/>
      </w:pPr>
      <w:rPr>
        <w:rFonts w:ascii="Courier New" w:hAnsi="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15:restartNumberingAfterBreak="0">
    <w:nsid w:val="50F623E9"/>
    <w:multiLevelType w:val="hybridMultilevel"/>
    <w:tmpl w:val="9D1E3162"/>
    <w:lvl w:ilvl="0" w:tplc="DB361FA2">
      <w:start w:val="1"/>
      <w:numFmt w:val="bullet"/>
      <w:lvlText w:val=""/>
      <w:lvlJc w:val="left"/>
      <w:pPr>
        <w:ind w:left="720" w:hanging="360"/>
      </w:pPr>
      <w:rPr>
        <w:rFonts w:ascii="Symbol" w:hAnsi="Symbol" w:hint="default"/>
        <w:color w:val="auto"/>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4" w15:restartNumberingAfterBreak="0">
    <w:nsid w:val="51FC6FF7"/>
    <w:multiLevelType w:val="hybridMultilevel"/>
    <w:tmpl w:val="6326296C"/>
    <w:lvl w:ilvl="0" w:tplc="180A0009">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5" w15:restartNumberingAfterBreak="0">
    <w:nsid w:val="58156EFC"/>
    <w:multiLevelType w:val="hybridMultilevel"/>
    <w:tmpl w:val="01BCC5DA"/>
    <w:lvl w:ilvl="0" w:tplc="180A0001">
      <w:start w:val="1"/>
      <w:numFmt w:val="bullet"/>
      <w:lvlText w:val=""/>
      <w:lvlJc w:val="left"/>
      <w:pPr>
        <w:ind w:left="502" w:hanging="360"/>
      </w:pPr>
      <w:rPr>
        <w:rFonts w:ascii="Symbol" w:hAnsi="Symbol" w:hint="default"/>
      </w:rPr>
    </w:lvl>
    <w:lvl w:ilvl="1" w:tplc="180A0003" w:tentative="1">
      <w:start w:val="1"/>
      <w:numFmt w:val="bullet"/>
      <w:lvlText w:val="o"/>
      <w:lvlJc w:val="left"/>
      <w:pPr>
        <w:ind w:left="1222" w:hanging="360"/>
      </w:pPr>
      <w:rPr>
        <w:rFonts w:ascii="Courier New" w:hAnsi="Courier New" w:cs="Courier New" w:hint="default"/>
      </w:rPr>
    </w:lvl>
    <w:lvl w:ilvl="2" w:tplc="180A0005" w:tentative="1">
      <w:start w:val="1"/>
      <w:numFmt w:val="bullet"/>
      <w:lvlText w:val=""/>
      <w:lvlJc w:val="left"/>
      <w:pPr>
        <w:ind w:left="1942" w:hanging="360"/>
      </w:pPr>
      <w:rPr>
        <w:rFonts w:ascii="Wingdings" w:hAnsi="Wingdings" w:hint="default"/>
      </w:rPr>
    </w:lvl>
    <w:lvl w:ilvl="3" w:tplc="180A0001" w:tentative="1">
      <w:start w:val="1"/>
      <w:numFmt w:val="bullet"/>
      <w:lvlText w:val=""/>
      <w:lvlJc w:val="left"/>
      <w:pPr>
        <w:ind w:left="2662" w:hanging="360"/>
      </w:pPr>
      <w:rPr>
        <w:rFonts w:ascii="Symbol" w:hAnsi="Symbol" w:hint="default"/>
      </w:rPr>
    </w:lvl>
    <w:lvl w:ilvl="4" w:tplc="180A0003" w:tentative="1">
      <w:start w:val="1"/>
      <w:numFmt w:val="bullet"/>
      <w:lvlText w:val="o"/>
      <w:lvlJc w:val="left"/>
      <w:pPr>
        <w:ind w:left="3382" w:hanging="360"/>
      </w:pPr>
      <w:rPr>
        <w:rFonts w:ascii="Courier New" w:hAnsi="Courier New" w:cs="Courier New" w:hint="default"/>
      </w:rPr>
    </w:lvl>
    <w:lvl w:ilvl="5" w:tplc="180A0005" w:tentative="1">
      <w:start w:val="1"/>
      <w:numFmt w:val="bullet"/>
      <w:lvlText w:val=""/>
      <w:lvlJc w:val="left"/>
      <w:pPr>
        <w:ind w:left="4102" w:hanging="360"/>
      </w:pPr>
      <w:rPr>
        <w:rFonts w:ascii="Wingdings" w:hAnsi="Wingdings" w:hint="default"/>
      </w:rPr>
    </w:lvl>
    <w:lvl w:ilvl="6" w:tplc="180A0001" w:tentative="1">
      <w:start w:val="1"/>
      <w:numFmt w:val="bullet"/>
      <w:lvlText w:val=""/>
      <w:lvlJc w:val="left"/>
      <w:pPr>
        <w:ind w:left="4822" w:hanging="360"/>
      </w:pPr>
      <w:rPr>
        <w:rFonts w:ascii="Symbol" w:hAnsi="Symbol" w:hint="default"/>
      </w:rPr>
    </w:lvl>
    <w:lvl w:ilvl="7" w:tplc="180A0003" w:tentative="1">
      <w:start w:val="1"/>
      <w:numFmt w:val="bullet"/>
      <w:lvlText w:val="o"/>
      <w:lvlJc w:val="left"/>
      <w:pPr>
        <w:ind w:left="5542" w:hanging="360"/>
      </w:pPr>
      <w:rPr>
        <w:rFonts w:ascii="Courier New" w:hAnsi="Courier New" w:cs="Courier New" w:hint="default"/>
      </w:rPr>
    </w:lvl>
    <w:lvl w:ilvl="8" w:tplc="180A0005" w:tentative="1">
      <w:start w:val="1"/>
      <w:numFmt w:val="bullet"/>
      <w:lvlText w:val=""/>
      <w:lvlJc w:val="left"/>
      <w:pPr>
        <w:ind w:left="6262" w:hanging="360"/>
      </w:pPr>
      <w:rPr>
        <w:rFonts w:ascii="Wingdings" w:hAnsi="Wingdings" w:hint="default"/>
      </w:rPr>
    </w:lvl>
  </w:abstractNum>
  <w:abstractNum w:abstractNumId="16" w15:restartNumberingAfterBreak="0">
    <w:nsid w:val="61136DF6"/>
    <w:multiLevelType w:val="hybridMultilevel"/>
    <w:tmpl w:val="933613D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7" w15:restartNumberingAfterBreak="0">
    <w:nsid w:val="6579246C"/>
    <w:multiLevelType w:val="hybridMultilevel"/>
    <w:tmpl w:val="8E1AFF8C"/>
    <w:lvl w:ilvl="0" w:tplc="ED380920">
      <w:start w:val="4"/>
      <w:numFmt w:val="bullet"/>
      <w:lvlText w:val=""/>
      <w:lvlJc w:val="left"/>
      <w:pPr>
        <w:ind w:left="720" w:hanging="360"/>
      </w:pPr>
      <w:rPr>
        <w:rFonts w:ascii="Symbol" w:eastAsia="Times New Roman" w:hAnsi="Symbo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8" w15:restartNumberingAfterBreak="0">
    <w:nsid w:val="69C757BE"/>
    <w:multiLevelType w:val="hybridMultilevel"/>
    <w:tmpl w:val="FFFFFFFF"/>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6B81031E"/>
    <w:multiLevelType w:val="hybridMultilevel"/>
    <w:tmpl w:val="7A46349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15:restartNumberingAfterBreak="0">
    <w:nsid w:val="6B9A33F8"/>
    <w:multiLevelType w:val="hybridMultilevel"/>
    <w:tmpl w:val="0C9E64A4"/>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15:restartNumberingAfterBreak="0">
    <w:nsid w:val="74FC3D94"/>
    <w:multiLevelType w:val="hybridMultilevel"/>
    <w:tmpl w:val="1B1AFFA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2" w15:restartNumberingAfterBreak="0">
    <w:nsid w:val="783269C9"/>
    <w:multiLevelType w:val="hybridMultilevel"/>
    <w:tmpl w:val="2F9A6C20"/>
    <w:lvl w:ilvl="0" w:tplc="180A0009">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3" w15:restartNumberingAfterBreak="0">
    <w:nsid w:val="7BE55162"/>
    <w:multiLevelType w:val="hybridMultilevel"/>
    <w:tmpl w:val="BDC2426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4" w15:restartNumberingAfterBreak="0">
    <w:nsid w:val="7F6B7BDA"/>
    <w:multiLevelType w:val="hybridMultilevel"/>
    <w:tmpl w:val="2AB61560"/>
    <w:lvl w:ilvl="0" w:tplc="180A000B">
      <w:start w:val="1"/>
      <w:numFmt w:val="bullet"/>
      <w:lvlText w:val=""/>
      <w:lvlJc w:val="left"/>
      <w:pPr>
        <w:ind w:left="644" w:hanging="360"/>
      </w:pPr>
      <w:rPr>
        <w:rFonts w:ascii="Wingdings" w:hAnsi="Wingdings" w:hint="default"/>
        <w:color w:val="auto"/>
        <w:lang w:val="es-ES"/>
      </w:rPr>
    </w:lvl>
    <w:lvl w:ilvl="1" w:tplc="180A0003" w:tentative="1">
      <w:start w:val="1"/>
      <w:numFmt w:val="bullet"/>
      <w:lvlText w:val="o"/>
      <w:lvlJc w:val="left"/>
      <w:pPr>
        <w:ind w:left="1364" w:hanging="360"/>
      </w:pPr>
      <w:rPr>
        <w:rFonts w:ascii="Courier New" w:hAnsi="Courier New" w:cs="Courier New" w:hint="default"/>
      </w:rPr>
    </w:lvl>
    <w:lvl w:ilvl="2" w:tplc="180A0005" w:tentative="1">
      <w:start w:val="1"/>
      <w:numFmt w:val="bullet"/>
      <w:lvlText w:val=""/>
      <w:lvlJc w:val="left"/>
      <w:pPr>
        <w:ind w:left="2084" w:hanging="360"/>
      </w:pPr>
      <w:rPr>
        <w:rFonts w:ascii="Wingdings" w:hAnsi="Wingdings" w:hint="default"/>
      </w:rPr>
    </w:lvl>
    <w:lvl w:ilvl="3" w:tplc="180A0001" w:tentative="1">
      <w:start w:val="1"/>
      <w:numFmt w:val="bullet"/>
      <w:lvlText w:val=""/>
      <w:lvlJc w:val="left"/>
      <w:pPr>
        <w:ind w:left="2804" w:hanging="360"/>
      </w:pPr>
      <w:rPr>
        <w:rFonts w:ascii="Symbol" w:hAnsi="Symbol" w:hint="default"/>
      </w:rPr>
    </w:lvl>
    <w:lvl w:ilvl="4" w:tplc="180A0003" w:tentative="1">
      <w:start w:val="1"/>
      <w:numFmt w:val="bullet"/>
      <w:lvlText w:val="o"/>
      <w:lvlJc w:val="left"/>
      <w:pPr>
        <w:ind w:left="3524" w:hanging="360"/>
      </w:pPr>
      <w:rPr>
        <w:rFonts w:ascii="Courier New" w:hAnsi="Courier New" w:cs="Courier New" w:hint="default"/>
      </w:rPr>
    </w:lvl>
    <w:lvl w:ilvl="5" w:tplc="180A0005" w:tentative="1">
      <w:start w:val="1"/>
      <w:numFmt w:val="bullet"/>
      <w:lvlText w:val=""/>
      <w:lvlJc w:val="left"/>
      <w:pPr>
        <w:ind w:left="4244" w:hanging="360"/>
      </w:pPr>
      <w:rPr>
        <w:rFonts w:ascii="Wingdings" w:hAnsi="Wingdings" w:hint="default"/>
      </w:rPr>
    </w:lvl>
    <w:lvl w:ilvl="6" w:tplc="180A0001" w:tentative="1">
      <w:start w:val="1"/>
      <w:numFmt w:val="bullet"/>
      <w:lvlText w:val=""/>
      <w:lvlJc w:val="left"/>
      <w:pPr>
        <w:ind w:left="4964" w:hanging="360"/>
      </w:pPr>
      <w:rPr>
        <w:rFonts w:ascii="Symbol" w:hAnsi="Symbol" w:hint="default"/>
      </w:rPr>
    </w:lvl>
    <w:lvl w:ilvl="7" w:tplc="180A0003" w:tentative="1">
      <w:start w:val="1"/>
      <w:numFmt w:val="bullet"/>
      <w:lvlText w:val="o"/>
      <w:lvlJc w:val="left"/>
      <w:pPr>
        <w:ind w:left="5684" w:hanging="360"/>
      </w:pPr>
      <w:rPr>
        <w:rFonts w:ascii="Courier New" w:hAnsi="Courier New" w:cs="Courier New" w:hint="default"/>
      </w:rPr>
    </w:lvl>
    <w:lvl w:ilvl="8" w:tplc="180A0005" w:tentative="1">
      <w:start w:val="1"/>
      <w:numFmt w:val="bullet"/>
      <w:lvlText w:val=""/>
      <w:lvlJc w:val="left"/>
      <w:pPr>
        <w:ind w:left="6404" w:hanging="360"/>
      </w:pPr>
      <w:rPr>
        <w:rFonts w:ascii="Wingdings" w:hAnsi="Wingdings" w:hint="default"/>
      </w:rPr>
    </w:lvl>
  </w:abstractNum>
  <w:num w:numId="1" w16cid:durableId="942690398">
    <w:abstractNumId w:val="12"/>
  </w:num>
  <w:num w:numId="2" w16cid:durableId="1755936993">
    <w:abstractNumId w:val="10"/>
  </w:num>
  <w:num w:numId="3" w16cid:durableId="444882222">
    <w:abstractNumId w:val="5"/>
  </w:num>
  <w:num w:numId="4" w16cid:durableId="2127575449">
    <w:abstractNumId w:val="1"/>
  </w:num>
  <w:num w:numId="5" w16cid:durableId="1752657147">
    <w:abstractNumId w:val="18"/>
  </w:num>
  <w:num w:numId="6" w16cid:durableId="522861298">
    <w:abstractNumId w:val="0"/>
  </w:num>
  <w:num w:numId="7" w16cid:durableId="992372123">
    <w:abstractNumId w:val="9"/>
  </w:num>
  <w:num w:numId="8" w16cid:durableId="673412803">
    <w:abstractNumId w:val="22"/>
  </w:num>
  <w:num w:numId="9" w16cid:durableId="1230732510">
    <w:abstractNumId w:val="7"/>
  </w:num>
  <w:num w:numId="10" w16cid:durableId="1548953002">
    <w:abstractNumId w:val="3"/>
  </w:num>
  <w:num w:numId="11" w16cid:durableId="749229794">
    <w:abstractNumId w:val="15"/>
  </w:num>
  <w:num w:numId="12" w16cid:durableId="333185515">
    <w:abstractNumId w:val="11"/>
  </w:num>
  <w:num w:numId="13" w16cid:durableId="1322656412">
    <w:abstractNumId w:val="24"/>
  </w:num>
  <w:num w:numId="14" w16cid:durableId="96604058">
    <w:abstractNumId w:val="8"/>
  </w:num>
  <w:num w:numId="15" w16cid:durableId="1890802572">
    <w:abstractNumId w:val="14"/>
  </w:num>
  <w:num w:numId="16" w16cid:durableId="1884975858">
    <w:abstractNumId w:val="17"/>
  </w:num>
  <w:num w:numId="17" w16cid:durableId="1178696779">
    <w:abstractNumId w:val="2"/>
  </w:num>
  <w:num w:numId="18" w16cid:durableId="1321540369">
    <w:abstractNumId w:val="4"/>
  </w:num>
  <w:num w:numId="19" w16cid:durableId="700477480">
    <w:abstractNumId w:val="20"/>
  </w:num>
  <w:num w:numId="20" w16cid:durableId="1011378018">
    <w:abstractNumId w:val="19"/>
  </w:num>
  <w:num w:numId="21" w16cid:durableId="1731072553">
    <w:abstractNumId w:val="21"/>
  </w:num>
  <w:num w:numId="22" w16cid:durableId="1084452837">
    <w:abstractNumId w:val="23"/>
  </w:num>
  <w:num w:numId="23" w16cid:durableId="858617652">
    <w:abstractNumId w:val="13"/>
  </w:num>
  <w:num w:numId="24" w16cid:durableId="583147582">
    <w:abstractNumId w:val="6"/>
  </w:num>
  <w:num w:numId="25" w16cid:durableId="10822929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4E"/>
    <w:rsid w:val="000039C6"/>
    <w:rsid w:val="0003199A"/>
    <w:rsid w:val="0005414A"/>
    <w:rsid w:val="00063294"/>
    <w:rsid w:val="000F5E87"/>
    <w:rsid w:val="00174470"/>
    <w:rsid w:val="001A5CA9"/>
    <w:rsid w:val="001A704A"/>
    <w:rsid w:val="001B045D"/>
    <w:rsid w:val="001B3F4A"/>
    <w:rsid w:val="001C3A0A"/>
    <w:rsid w:val="001F714E"/>
    <w:rsid w:val="00210363"/>
    <w:rsid w:val="00214CD8"/>
    <w:rsid w:val="00222496"/>
    <w:rsid w:val="002372AA"/>
    <w:rsid w:val="002435C3"/>
    <w:rsid w:val="00260508"/>
    <w:rsid w:val="00272A2F"/>
    <w:rsid w:val="002A7138"/>
    <w:rsid w:val="002C3FE0"/>
    <w:rsid w:val="003558DF"/>
    <w:rsid w:val="00362541"/>
    <w:rsid w:val="00381B42"/>
    <w:rsid w:val="00394C24"/>
    <w:rsid w:val="003F17D3"/>
    <w:rsid w:val="003F4E15"/>
    <w:rsid w:val="00454DC4"/>
    <w:rsid w:val="004677A7"/>
    <w:rsid w:val="004A4055"/>
    <w:rsid w:val="00512EE1"/>
    <w:rsid w:val="005216D1"/>
    <w:rsid w:val="00530DE7"/>
    <w:rsid w:val="00543E82"/>
    <w:rsid w:val="00580EB5"/>
    <w:rsid w:val="005C1811"/>
    <w:rsid w:val="005F106F"/>
    <w:rsid w:val="005F21E8"/>
    <w:rsid w:val="005F554F"/>
    <w:rsid w:val="005F6BEB"/>
    <w:rsid w:val="00632CEC"/>
    <w:rsid w:val="0065633F"/>
    <w:rsid w:val="00657E3A"/>
    <w:rsid w:val="006607A6"/>
    <w:rsid w:val="0068165B"/>
    <w:rsid w:val="00696481"/>
    <w:rsid w:val="00697A38"/>
    <w:rsid w:val="006A2DA6"/>
    <w:rsid w:val="006C4DC3"/>
    <w:rsid w:val="006C56EF"/>
    <w:rsid w:val="006D3C1F"/>
    <w:rsid w:val="006E63C9"/>
    <w:rsid w:val="006F38D4"/>
    <w:rsid w:val="007166C5"/>
    <w:rsid w:val="00721835"/>
    <w:rsid w:val="00770251"/>
    <w:rsid w:val="007A49C0"/>
    <w:rsid w:val="007B0ED5"/>
    <w:rsid w:val="007C6A41"/>
    <w:rsid w:val="008058C1"/>
    <w:rsid w:val="00836260"/>
    <w:rsid w:val="00850352"/>
    <w:rsid w:val="0087745B"/>
    <w:rsid w:val="00896E15"/>
    <w:rsid w:val="008B3602"/>
    <w:rsid w:val="008D2675"/>
    <w:rsid w:val="008F299B"/>
    <w:rsid w:val="008F2E66"/>
    <w:rsid w:val="008F5BF9"/>
    <w:rsid w:val="008F5E3E"/>
    <w:rsid w:val="008F63BE"/>
    <w:rsid w:val="00907E3B"/>
    <w:rsid w:val="0092444B"/>
    <w:rsid w:val="00937335"/>
    <w:rsid w:val="0096519D"/>
    <w:rsid w:val="009A14BF"/>
    <w:rsid w:val="009C29DF"/>
    <w:rsid w:val="009C2C92"/>
    <w:rsid w:val="009E1778"/>
    <w:rsid w:val="009E353F"/>
    <w:rsid w:val="009F6008"/>
    <w:rsid w:val="00A02F21"/>
    <w:rsid w:val="00A161E9"/>
    <w:rsid w:val="00A24EE7"/>
    <w:rsid w:val="00A84B73"/>
    <w:rsid w:val="00A8542C"/>
    <w:rsid w:val="00AA7D2C"/>
    <w:rsid w:val="00AE49D6"/>
    <w:rsid w:val="00AF574F"/>
    <w:rsid w:val="00B060AE"/>
    <w:rsid w:val="00B33ABF"/>
    <w:rsid w:val="00B63EB5"/>
    <w:rsid w:val="00B92D2B"/>
    <w:rsid w:val="00BA60B6"/>
    <w:rsid w:val="00BA668E"/>
    <w:rsid w:val="00BC0F50"/>
    <w:rsid w:val="00BC30DC"/>
    <w:rsid w:val="00BC5377"/>
    <w:rsid w:val="00BD17EA"/>
    <w:rsid w:val="00BE163F"/>
    <w:rsid w:val="00BE3AFA"/>
    <w:rsid w:val="00BE6C19"/>
    <w:rsid w:val="00C14528"/>
    <w:rsid w:val="00C2647F"/>
    <w:rsid w:val="00C27817"/>
    <w:rsid w:val="00C3283A"/>
    <w:rsid w:val="00C444E5"/>
    <w:rsid w:val="00C74AC4"/>
    <w:rsid w:val="00C94BC4"/>
    <w:rsid w:val="00CA2B9B"/>
    <w:rsid w:val="00CB68A1"/>
    <w:rsid w:val="00CF2DB9"/>
    <w:rsid w:val="00D152BA"/>
    <w:rsid w:val="00D20CE4"/>
    <w:rsid w:val="00D31410"/>
    <w:rsid w:val="00D4238B"/>
    <w:rsid w:val="00D63FC1"/>
    <w:rsid w:val="00D9446A"/>
    <w:rsid w:val="00DC02E6"/>
    <w:rsid w:val="00DF2A6F"/>
    <w:rsid w:val="00E70630"/>
    <w:rsid w:val="00E858E5"/>
    <w:rsid w:val="00EA01C4"/>
    <w:rsid w:val="00EA2CDE"/>
    <w:rsid w:val="00ED1BCF"/>
    <w:rsid w:val="00EF1480"/>
    <w:rsid w:val="00F161F2"/>
    <w:rsid w:val="00F40EF3"/>
    <w:rsid w:val="00F852F9"/>
    <w:rsid w:val="00FA3B80"/>
    <w:rsid w:val="00FB622A"/>
    <w:rsid w:val="00FC3A13"/>
    <w:rsid w:val="00FE413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C1D90"/>
  <w15:chartTrackingRefBased/>
  <w15:docId w15:val="{C738168F-2C58-49B3-B444-CFE3805D8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C24"/>
    <w:pPr>
      <w:spacing w:after="200" w:line="276" w:lineRule="auto"/>
    </w:pPr>
    <w:rPr>
      <w:rFonts w:eastAsiaTheme="minorEastAsia"/>
      <w:kern w:val="0"/>
      <w:lang w:val="es-ES" w:eastAsia="es-ES"/>
      <w14:ligatures w14:val="none"/>
    </w:rPr>
  </w:style>
  <w:style w:type="paragraph" w:styleId="Ttulo1">
    <w:name w:val="heading 1"/>
    <w:basedOn w:val="Normal"/>
    <w:next w:val="Normal"/>
    <w:link w:val="Ttulo1Car"/>
    <w:uiPriority w:val="9"/>
    <w:qFormat/>
    <w:rsid w:val="001F714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s-PA" w:eastAsia="en-US"/>
      <w14:ligatures w14:val="standardContextual"/>
    </w:rPr>
  </w:style>
  <w:style w:type="paragraph" w:styleId="Ttulo2">
    <w:name w:val="heading 2"/>
    <w:basedOn w:val="Normal"/>
    <w:next w:val="Normal"/>
    <w:link w:val="Ttulo2Car"/>
    <w:uiPriority w:val="9"/>
    <w:semiHidden/>
    <w:unhideWhenUsed/>
    <w:qFormat/>
    <w:rsid w:val="001F714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s-PA" w:eastAsia="en-US"/>
      <w14:ligatures w14:val="standardContextual"/>
    </w:rPr>
  </w:style>
  <w:style w:type="paragraph" w:styleId="Ttulo3">
    <w:name w:val="heading 3"/>
    <w:basedOn w:val="Normal"/>
    <w:next w:val="Normal"/>
    <w:link w:val="Ttulo3Car"/>
    <w:uiPriority w:val="9"/>
    <w:semiHidden/>
    <w:unhideWhenUsed/>
    <w:qFormat/>
    <w:rsid w:val="001F714E"/>
    <w:pPr>
      <w:keepNext/>
      <w:keepLines/>
      <w:spacing w:before="160" w:after="80" w:line="259" w:lineRule="auto"/>
      <w:outlineLvl w:val="2"/>
    </w:pPr>
    <w:rPr>
      <w:rFonts w:eastAsiaTheme="majorEastAsia" w:cstheme="majorBidi"/>
      <w:color w:val="0F4761" w:themeColor="accent1" w:themeShade="BF"/>
      <w:kern w:val="2"/>
      <w:sz w:val="28"/>
      <w:szCs w:val="28"/>
      <w:lang w:val="es-PA" w:eastAsia="en-US"/>
      <w14:ligatures w14:val="standardContextual"/>
    </w:rPr>
  </w:style>
  <w:style w:type="paragraph" w:styleId="Ttulo4">
    <w:name w:val="heading 4"/>
    <w:basedOn w:val="Normal"/>
    <w:next w:val="Normal"/>
    <w:link w:val="Ttulo4Car"/>
    <w:uiPriority w:val="9"/>
    <w:semiHidden/>
    <w:unhideWhenUsed/>
    <w:qFormat/>
    <w:rsid w:val="001F714E"/>
    <w:pPr>
      <w:keepNext/>
      <w:keepLines/>
      <w:spacing w:before="80" w:after="40" w:line="259" w:lineRule="auto"/>
      <w:outlineLvl w:val="3"/>
    </w:pPr>
    <w:rPr>
      <w:rFonts w:eastAsiaTheme="majorEastAsia" w:cstheme="majorBidi"/>
      <w:i/>
      <w:iCs/>
      <w:color w:val="0F4761" w:themeColor="accent1" w:themeShade="BF"/>
      <w:kern w:val="2"/>
      <w:lang w:val="es-PA" w:eastAsia="en-US"/>
      <w14:ligatures w14:val="standardContextual"/>
    </w:rPr>
  </w:style>
  <w:style w:type="paragraph" w:styleId="Ttulo5">
    <w:name w:val="heading 5"/>
    <w:basedOn w:val="Normal"/>
    <w:next w:val="Normal"/>
    <w:link w:val="Ttulo5Car"/>
    <w:uiPriority w:val="9"/>
    <w:semiHidden/>
    <w:unhideWhenUsed/>
    <w:qFormat/>
    <w:rsid w:val="001F714E"/>
    <w:pPr>
      <w:keepNext/>
      <w:keepLines/>
      <w:spacing w:before="80" w:after="40" w:line="259" w:lineRule="auto"/>
      <w:outlineLvl w:val="4"/>
    </w:pPr>
    <w:rPr>
      <w:rFonts w:eastAsiaTheme="majorEastAsia" w:cstheme="majorBidi"/>
      <w:color w:val="0F4761" w:themeColor="accent1" w:themeShade="BF"/>
      <w:kern w:val="2"/>
      <w:lang w:val="es-PA" w:eastAsia="en-US"/>
      <w14:ligatures w14:val="standardContextual"/>
    </w:rPr>
  </w:style>
  <w:style w:type="paragraph" w:styleId="Ttulo6">
    <w:name w:val="heading 6"/>
    <w:basedOn w:val="Normal"/>
    <w:next w:val="Normal"/>
    <w:link w:val="Ttulo6Car"/>
    <w:uiPriority w:val="9"/>
    <w:semiHidden/>
    <w:unhideWhenUsed/>
    <w:qFormat/>
    <w:rsid w:val="001F714E"/>
    <w:pPr>
      <w:keepNext/>
      <w:keepLines/>
      <w:spacing w:before="40" w:after="0" w:line="259" w:lineRule="auto"/>
      <w:outlineLvl w:val="5"/>
    </w:pPr>
    <w:rPr>
      <w:rFonts w:eastAsiaTheme="majorEastAsia" w:cstheme="majorBidi"/>
      <w:i/>
      <w:iCs/>
      <w:color w:val="595959" w:themeColor="text1" w:themeTint="A6"/>
      <w:kern w:val="2"/>
      <w:lang w:val="es-PA" w:eastAsia="en-US"/>
      <w14:ligatures w14:val="standardContextual"/>
    </w:rPr>
  </w:style>
  <w:style w:type="paragraph" w:styleId="Ttulo7">
    <w:name w:val="heading 7"/>
    <w:basedOn w:val="Normal"/>
    <w:next w:val="Normal"/>
    <w:link w:val="Ttulo7Car"/>
    <w:uiPriority w:val="9"/>
    <w:semiHidden/>
    <w:unhideWhenUsed/>
    <w:qFormat/>
    <w:rsid w:val="001F714E"/>
    <w:pPr>
      <w:keepNext/>
      <w:keepLines/>
      <w:spacing w:before="40" w:after="0" w:line="259" w:lineRule="auto"/>
      <w:outlineLvl w:val="6"/>
    </w:pPr>
    <w:rPr>
      <w:rFonts w:eastAsiaTheme="majorEastAsia" w:cstheme="majorBidi"/>
      <w:color w:val="595959" w:themeColor="text1" w:themeTint="A6"/>
      <w:kern w:val="2"/>
      <w:lang w:val="es-PA" w:eastAsia="en-US"/>
      <w14:ligatures w14:val="standardContextual"/>
    </w:rPr>
  </w:style>
  <w:style w:type="paragraph" w:styleId="Ttulo8">
    <w:name w:val="heading 8"/>
    <w:basedOn w:val="Normal"/>
    <w:next w:val="Normal"/>
    <w:link w:val="Ttulo8Car"/>
    <w:uiPriority w:val="9"/>
    <w:semiHidden/>
    <w:unhideWhenUsed/>
    <w:qFormat/>
    <w:rsid w:val="001F714E"/>
    <w:pPr>
      <w:keepNext/>
      <w:keepLines/>
      <w:spacing w:after="0" w:line="259" w:lineRule="auto"/>
      <w:outlineLvl w:val="7"/>
    </w:pPr>
    <w:rPr>
      <w:rFonts w:eastAsiaTheme="majorEastAsia" w:cstheme="majorBidi"/>
      <w:i/>
      <w:iCs/>
      <w:color w:val="272727" w:themeColor="text1" w:themeTint="D8"/>
      <w:kern w:val="2"/>
      <w:lang w:val="es-PA" w:eastAsia="en-US"/>
      <w14:ligatures w14:val="standardContextual"/>
    </w:rPr>
  </w:style>
  <w:style w:type="paragraph" w:styleId="Ttulo9">
    <w:name w:val="heading 9"/>
    <w:basedOn w:val="Normal"/>
    <w:next w:val="Normal"/>
    <w:link w:val="Ttulo9Car"/>
    <w:uiPriority w:val="9"/>
    <w:semiHidden/>
    <w:unhideWhenUsed/>
    <w:qFormat/>
    <w:rsid w:val="001F714E"/>
    <w:pPr>
      <w:keepNext/>
      <w:keepLines/>
      <w:spacing w:after="0" w:line="259" w:lineRule="auto"/>
      <w:outlineLvl w:val="8"/>
    </w:pPr>
    <w:rPr>
      <w:rFonts w:eastAsiaTheme="majorEastAsia" w:cstheme="majorBidi"/>
      <w:color w:val="272727" w:themeColor="text1" w:themeTint="D8"/>
      <w:kern w:val="2"/>
      <w:lang w:val="es-PA"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714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F714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F714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F714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F714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F714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F714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F714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F714E"/>
    <w:rPr>
      <w:rFonts w:eastAsiaTheme="majorEastAsia" w:cstheme="majorBidi"/>
      <w:color w:val="272727" w:themeColor="text1" w:themeTint="D8"/>
    </w:rPr>
  </w:style>
  <w:style w:type="paragraph" w:styleId="Ttulo">
    <w:name w:val="Title"/>
    <w:basedOn w:val="Normal"/>
    <w:next w:val="Normal"/>
    <w:link w:val="TtuloCar"/>
    <w:uiPriority w:val="10"/>
    <w:qFormat/>
    <w:rsid w:val="001F714E"/>
    <w:pPr>
      <w:spacing w:after="80" w:line="240" w:lineRule="auto"/>
      <w:contextualSpacing/>
    </w:pPr>
    <w:rPr>
      <w:rFonts w:asciiTheme="majorHAnsi" w:eastAsiaTheme="majorEastAsia" w:hAnsiTheme="majorHAnsi" w:cstheme="majorBidi"/>
      <w:spacing w:val="-10"/>
      <w:kern w:val="28"/>
      <w:sz w:val="56"/>
      <w:szCs w:val="56"/>
      <w:lang w:val="es-PA" w:eastAsia="en-US"/>
      <w14:ligatures w14:val="standardContextual"/>
    </w:rPr>
  </w:style>
  <w:style w:type="character" w:customStyle="1" w:styleId="TtuloCar">
    <w:name w:val="Título Car"/>
    <w:basedOn w:val="Fuentedeprrafopredeter"/>
    <w:link w:val="Ttulo"/>
    <w:uiPriority w:val="10"/>
    <w:rsid w:val="001F71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714E"/>
    <w:pPr>
      <w:numPr>
        <w:ilvl w:val="1"/>
      </w:numPr>
      <w:spacing w:after="160" w:line="259" w:lineRule="auto"/>
    </w:pPr>
    <w:rPr>
      <w:rFonts w:eastAsiaTheme="majorEastAsia" w:cstheme="majorBidi"/>
      <w:color w:val="595959" w:themeColor="text1" w:themeTint="A6"/>
      <w:spacing w:val="15"/>
      <w:kern w:val="2"/>
      <w:sz w:val="28"/>
      <w:szCs w:val="28"/>
      <w:lang w:val="es-PA" w:eastAsia="en-US"/>
      <w14:ligatures w14:val="standardContextual"/>
    </w:rPr>
  </w:style>
  <w:style w:type="character" w:customStyle="1" w:styleId="SubttuloCar">
    <w:name w:val="Subtítulo Car"/>
    <w:basedOn w:val="Fuentedeprrafopredeter"/>
    <w:link w:val="Subttulo"/>
    <w:uiPriority w:val="11"/>
    <w:rsid w:val="001F714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714E"/>
    <w:pPr>
      <w:spacing w:before="160" w:after="160" w:line="259" w:lineRule="auto"/>
      <w:jc w:val="center"/>
    </w:pPr>
    <w:rPr>
      <w:rFonts w:eastAsiaTheme="minorHAnsi"/>
      <w:i/>
      <w:iCs/>
      <w:color w:val="404040" w:themeColor="text1" w:themeTint="BF"/>
      <w:kern w:val="2"/>
      <w:lang w:val="es-PA" w:eastAsia="en-US"/>
      <w14:ligatures w14:val="standardContextual"/>
    </w:rPr>
  </w:style>
  <w:style w:type="character" w:customStyle="1" w:styleId="CitaCar">
    <w:name w:val="Cita Car"/>
    <w:basedOn w:val="Fuentedeprrafopredeter"/>
    <w:link w:val="Cita"/>
    <w:uiPriority w:val="29"/>
    <w:rsid w:val="001F714E"/>
    <w:rPr>
      <w:i/>
      <w:iCs/>
      <w:color w:val="404040" w:themeColor="text1" w:themeTint="BF"/>
    </w:rPr>
  </w:style>
  <w:style w:type="paragraph" w:styleId="Prrafodelista">
    <w:name w:val="List Paragraph"/>
    <w:basedOn w:val="Normal"/>
    <w:uiPriority w:val="34"/>
    <w:qFormat/>
    <w:rsid w:val="001F714E"/>
    <w:pPr>
      <w:spacing w:after="160" w:line="259" w:lineRule="auto"/>
      <w:ind w:left="720"/>
      <w:contextualSpacing/>
    </w:pPr>
    <w:rPr>
      <w:rFonts w:eastAsiaTheme="minorHAnsi"/>
      <w:kern w:val="2"/>
      <w:lang w:val="es-PA" w:eastAsia="en-US"/>
      <w14:ligatures w14:val="standardContextual"/>
    </w:rPr>
  </w:style>
  <w:style w:type="character" w:styleId="nfasisintenso">
    <w:name w:val="Intense Emphasis"/>
    <w:basedOn w:val="Fuentedeprrafopredeter"/>
    <w:uiPriority w:val="21"/>
    <w:qFormat/>
    <w:rsid w:val="001F714E"/>
    <w:rPr>
      <w:i/>
      <w:iCs/>
      <w:color w:val="0F4761" w:themeColor="accent1" w:themeShade="BF"/>
    </w:rPr>
  </w:style>
  <w:style w:type="paragraph" w:styleId="Citadestacada">
    <w:name w:val="Intense Quote"/>
    <w:basedOn w:val="Normal"/>
    <w:next w:val="Normal"/>
    <w:link w:val="CitadestacadaCar"/>
    <w:uiPriority w:val="30"/>
    <w:qFormat/>
    <w:rsid w:val="001F714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val="es-PA" w:eastAsia="en-US"/>
      <w14:ligatures w14:val="standardContextual"/>
    </w:rPr>
  </w:style>
  <w:style w:type="character" w:customStyle="1" w:styleId="CitadestacadaCar">
    <w:name w:val="Cita destacada Car"/>
    <w:basedOn w:val="Fuentedeprrafopredeter"/>
    <w:link w:val="Citadestacada"/>
    <w:uiPriority w:val="30"/>
    <w:rsid w:val="001F714E"/>
    <w:rPr>
      <w:i/>
      <w:iCs/>
      <w:color w:val="0F4761" w:themeColor="accent1" w:themeShade="BF"/>
    </w:rPr>
  </w:style>
  <w:style w:type="character" w:styleId="Referenciaintensa">
    <w:name w:val="Intense Reference"/>
    <w:basedOn w:val="Fuentedeprrafopredeter"/>
    <w:uiPriority w:val="32"/>
    <w:qFormat/>
    <w:rsid w:val="001F714E"/>
    <w:rPr>
      <w:b/>
      <w:bCs/>
      <w:smallCaps/>
      <w:color w:val="0F4761" w:themeColor="accent1" w:themeShade="BF"/>
      <w:spacing w:val="5"/>
    </w:rPr>
  </w:style>
  <w:style w:type="paragraph" w:styleId="Encabezado">
    <w:name w:val="header"/>
    <w:basedOn w:val="Normal"/>
    <w:link w:val="EncabezadoCar"/>
    <w:uiPriority w:val="99"/>
    <w:unhideWhenUsed/>
    <w:rsid w:val="007218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1835"/>
    <w:rPr>
      <w:rFonts w:eastAsiaTheme="minorEastAsia"/>
      <w:kern w:val="0"/>
      <w:lang w:val="es-ES" w:eastAsia="es-ES"/>
      <w14:ligatures w14:val="none"/>
    </w:rPr>
  </w:style>
  <w:style w:type="paragraph" w:styleId="Piedepgina">
    <w:name w:val="footer"/>
    <w:basedOn w:val="Normal"/>
    <w:link w:val="PiedepginaCar"/>
    <w:uiPriority w:val="99"/>
    <w:unhideWhenUsed/>
    <w:rsid w:val="007218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1835"/>
    <w:rPr>
      <w:rFonts w:eastAsiaTheme="minorEastAsia"/>
      <w:kern w:val="0"/>
      <w:lang w:val="es-ES" w:eastAsia="es-ES"/>
      <w14:ligatures w14:val="none"/>
    </w:rPr>
  </w:style>
  <w:style w:type="character" w:styleId="Hipervnculo">
    <w:name w:val="Hyperlink"/>
    <w:basedOn w:val="Fuentedeprrafopredeter"/>
    <w:uiPriority w:val="99"/>
    <w:unhideWhenUsed/>
    <w:rsid w:val="00AE49D6"/>
    <w:rPr>
      <w:color w:val="467886" w:themeColor="hyperlink"/>
      <w:u w:val="single"/>
    </w:rPr>
  </w:style>
  <w:style w:type="character" w:styleId="Mencinsinresolver">
    <w:name w:val="Unresolved Mention"/>
    <w:basedOn w:val="Fuentedeprrafopredeter"/>
    <w:uiPriority w:val="99"/>
    <w:semiHidden/>
    <w:unhideWhenUsed/>
    <w:rsid w:val="00AE49D6"/>
    <w:rPr>
      <w:color w:val="605E5C"/>
      <w:shd w:val="clear" w:color="auto" w:fill="E1DFDD"/>
    </w:rPr>
  </w:style>
  <w:style w:type="table" w:styleId="Tablaconcuadrcula">
    <w:name w:val="Table Grid"/>
    <w:basedOn w:val="Tablanormal"/>
    <w:uiPriority w:val="39"/>
    <w:rsid w:val="00C74AC4"/>
    <w:pPr>
      <w:spacing w:after="0" w:line="240" w:lineRule="auto"/>
    </w:pPr>
    <w:rPr>
      <w:rFonts w:eastAsia="Times New Roman"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63FC1"/>
    <w:rPr>
      <w:b/>
      <w:bCs/>
    </w:rPr>
  </w:style>
  <w:style w:type="character" w:customStyle="1" w:styleId="ema-glossary-term">
    <w:name w:val="ema-glossary-term"/>
    <w:basedOn w:val="Fuentedeprrafopredeter"/>
    <w:rsid w:val="00D63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sa.gob.pa/sites/default/files/alertas/065-20_nota_de_seguridad_sobre_clozapina.pdf" TargetMode="External"/><Relationship Id="rId13" Type="http://schemas.openxmlformats.org/officeDocument/2006/relationships/hyperlink" Target="https://www.minsa.gob.pa/sites/default/files/alertas/nota_de_seguridad_clozapina_correccion.pdf" TargetMode="External"/><Relationship Id="rId18" Type="http://schemas.openxmlformats.org/officeDocument/2006/relationships/hyperlink" Target="https://www.ema.europa.eu/en/documents/dhpc/direct-healthcare-professional-communication-dhpc-clozapine-revised-recommendations-routine-blood-count-monitoring-risk-agranulocytosis_en.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insa.gob.pa/sites/default/files/alertas/alerta_clozapina-firmada.pdf" TargetMode="External"/><Relationship Id="rId12" Type="http://schemas.openxmlformats.org/officeDocument/2006/relationships/hyperlink" Target="https://www.minsa.gob.pa/sites/default/files/alertas/alerta_0002.pdf" TargetMode="External"/><Relationship Id="rId17" Type="http://schemas.openxmlformats.org/officeDocument/2006/relationships/hyperlink" Target="https://faddi-minsa.panamadigital.gob.pa/login" TargetMode="External"/><Relationship Id="rId2" Type="http://schemas.openxmlformats.org/officeDocument/2006/relationships/styles" Target="styles.xml"/><Relationship Id="rId16" Type="http://schemas.openxmlformats.org/officeDocument/2006/relationships/hyperlink" Target="http://www.notificacentroamerica.ne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nsa.gob.pa/sites/default/files/alertas/alerta_025.pdf" TargetMode="External"/><Relationship Id="rId5" Type="http://schemas.openxmlformats.org/officeDocument/2006/relationships/footnotes" Target="footnotes.xml"/><Relationship Id="rId15" Type="http://schemas.openxmlformats.org/officeDocument/2006/relationships/hyperlink" Target="https://www.minsa.gob.pa/sites/default/files/alertas/clozapina.pdf" TargetMode="External"/><Relationship Id="rId10" Type="http://schemas.openxmlformats.org/officeDocument/2006/relationships/hyperlink" Target="https://www.minsa.gob.pa/sites/default/files/alertas/nota_032-20_clozapina.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insa.gob.pa/sites/default/files/alertas/nota_039-20_clozapina.pdf" TargetMode="External"/><Relationship Id="rId14" Type="http://schemas.openxmlformats.org/officeDocument/2006/relationships/hyperlink" Target="https://www.minsa.gob.pa/sites/default/files/alertas/skm_364e17112716020.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4</Pages>
  <Words>2400</Words>
  <Characters>13206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Maritza Gonzalez</dc:creator>
  <cp:keywords/>
  <dc:description/>
  <cp:lastModifiedBy>Idalmis Del Carmen Aguilar Torres</cp:lastModifiedBy>
  <cp:revision>7</cp:revision>
  <cp:lastPrinted>2025-09-26T19:14:00Z</cp:lastPrinted>
  <dcterms:created xsi:type="dcterms:W3CDTF">2025-09-25T18:50:00Z</dcterms:created>
  <dcterms:modified xsi:type="dcterms:W3CDTF">2025-09-26T19:21:00Z</dcterms:modified>
</cp:coreProperties>
</file>